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02E" w:rsidRPr="009F302E" w:rsidRDefault="009F302E" w:rsidP="009F302E">
      <w:pPr>
        <w:bidi/>
        <w:spacing w:after="0" w:line="660" w:lineRule="atLeast"/>
        <w:jc w:val="center"/>
        <w:outlineLvl w:val="1"/>
        <w:rPr>
          <w:rFonts w:ascii="Arial" w:eastAsia="Times New Roman" w:hAnsi="Arial" w:cs="Arial"/>
          <w:b/>
          <w:bCs/>
          <w:color w:val="000000"/>
          <w:sz w:val="54"/>
          <w:szCs w:val="54"/>
        </w:rPr>
      </w:pPr>
      <w:r w:rsidRPr="009F302E">
        <w:rPr>
          <w:rFonts w:ascii="Arial" w:eastAsia="Times New Roman" w:hAnsi="Arial" w:cs="Arial"/>
          <w:b/>
          <w:bCs/>
          <w:color w:val="000000"/>
          <w:sz w:val="54"/>
          <w:szCs w:val="54"/>
          <w:rtl/>
        </w:rPr>
        <w:t xml:space="preserve">نمای کلی مجموعه اصلی </w:t>
      </w:r>
      <w:r w:rsidRPr="009F302E">
        <w:rPr>
          <w:rFonts w:ascii="Arial" w:eastAsia="Times New Roman" w:hAnsi="Arial" w:cs="Arial"/>
          <w:b/>
          <w:bCs/>
          <w:color w:val="000000"/>
          <w:sz w:val="54"/>
          <w:szCs w:val="54"/>
          <w:rtl/>
          <w:lang w:bidi="fa-IR"/>
        </w:rPr>
        <w:t>۲۵</w:t>
      </w:r>
      <w:r w:rsidRPr="009F302E">
        <w:rPr>
          <w:rFonts w:ascii="Arial" w:eastAsia="Times New Roman" w:hAnsi="Arial" w:cs="Arial"/>
          <w:b/>
          <w:bCs/>
          <w:color w:val="000000"/>
          <w:sz w:val="54"/>
          <w:szCs w:val="54"/>
          <w:rtl/>
        </w:rPr>
        <w:t xml:space="preserve"> جلدی نفت</w:t>
      </w:r>
    </w:p>
    <w:p w:rsidR="009F302E" w:rsidRPr="009F302E" w:rsidRDefault="009F302E" w:rsidP="009F302E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30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</w:t>
      </w:r>
      <w:proofErr w:type="spellStart"/>
      <w:r w:rsidRPr="009F302E">
        <w:rPr>
          <w:rFonts w:ascii="Times New Roman" w:eastAsia="Times New Roman" w:hAnsi="Times New Roman" w:cs="Times New Roman"/>
          <w:color w:val="000000"/>
          <w:sz w:val="24"/>
          <w:szCs w:val="24"/>
        </w:rPr>
        <w:t>sources·Nov</w:t>
      </w:r>
      <w:proofErr w:type="spellEnd"/>
      <w:r w:rsidRPr="009F30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16, 2025</w:t>
      </w:r>
    </w:p>
    <w:p w:rsidR="009F302E" w:rsidRPr="009F302E" w:rsidRDefault="009F302E" w:rsidP="009F302E">
      <w:pPr>
        <w:shd w:val="clear" w:color="auto" w:fill="FAF9F9"/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03030"/>
          <w:sz w:val="27"/>
          <w:szCs w:val="27"/>
        </w:rPr>
      </w:pPr>
      <w:r w:rsidRPr="009F302E">
        <w:rPr>
          <w:rFonts w:ascii="Times New Roman" w:eastAsia="Times New Roman" w:hAnsi="Times New Roman" w:cs="Times New Roman"/>
          <w:color w:val="303030"/>
          <w:sz w:val="27"/>
          <w:szCs w:val="27"/>
          <w:rtl/>
        </w:rPr>
        <w:t xml:space="preserve">منابع ارائه‌شده به معرفی و ساختاردهی یک </w:t>
      </w:r>
      <w:r w:rsidRPr="009F302E">
        <w:rPr>
          <w:rFonts w:ascii="Times New Roman" w:eastAsia="Times New Roman" w:hAnsi="Times New Roman" w:cs="Times New Roman"/>
          <w:b/>
          <w:bCs/>
          <w:color w:val="303030"/>
          <w:sz w:val="27"/>
          <w:szCs w:val="27"/>
        </w:rPr>
        <w:t>«</w:t>
      </w:r>
      <w:r w:rsidRPr="009F302E">
        <w:rPr>
          <w:rFonts w:ascii="Times New Roman" w:eastAsia="Times New Roman" w:hAnsi="Times New Roman" w:cs="Times New Roman"/>
          <w:b/>
          <w:bCs/>
          <w:color w:val="303030"/>
          <w:sz w:val="27"/>
          <w:szCs w:val="27"/>
          <w:rtl/>
        </w:rPr>
        <w:t xml:space="preserve">مجموعه اصلی» </w:t>
      </w:r>
      <w:r w:rsidRPr="009F302E">
        <w:rPr>
          <w:rFonts w:ascii="Times New Roman" w:eastAsia="Times New Roman" w:hAnsi="Times New Roman" w:cs="Times New Roman"/>
          <w:b/>
          <w:bCs/>
          <w:color w:val="303030"/>
          <w:sz w:val="27"/>
          <w:szCs w:val="27"/>
          <w:rtl/>
          <w:lang w:bidi="fa-IR"/>
        </w:rPr>
        <w:t>۲۵</w:t>
      </w:r>
      <w:r w:rsidRPr="009F302E">
        <w:rPr>
          <w:rFonts w:ascii="Times New Roman" w:eastAsia="Times New Roman" w:hAnsi="Times New Roman" w:cs="Times New Roman"/>
          <w:b/>
          <w:bCs/>
          <w:color w:val="303030"/>
          <w:sz w:val="27"/>
          <w:szCs w:val="27"/>
          <w:rtl/>
        </w:rPr>
        <w:t xml:space="preserve"> جلدی</w:t>
      </w:r>
      <w:r w:rsidRPr="009F302E">
        <w:rPr>
          <w:rFonts w:ascii="Times New Roman" w:eastAsia="Times New Roman" w:hAnsi="Times New Roman" w:cs="Times New Roman"/>
          <w:color w:val="303030"/>
          <w:sz w:val="27"/>
          <w:szCs w:val="27"/>
          <w:rtl/>
        </w:rPr>
        <w:t xml:space="preserve"> تحت عنوان جامع </w:t>
      </w:r>
      <w:r w:rsidRPr="009F302E">
        <w:rPr>
          <w:rFonts w:ascii="Times New Roman" w:eastAsia="Times New Roman" w:hAnsi="Times New Roman" w:cs="Times New Roman"/>
          <w:b/>
          <w:bCs/>
          <w:color w:val="303030"/>
          <w:sz w:val="27"/>
          <w:szCs w:val="27"/>
        </w:rPr>
        <w:t>«</w:t>
      </w:r>
      <w:r w:rsidRPr="009F302E">
        <w:rPr>
          <w:rFonts w:ascii="Times New Roman" w:eastAsia="Times New Roman" w:hAnsi="Times New Roman" w:cs="Times New Roman"/>
          <w:b/>
          <w:bCs/>
          <w:color w:val="303030"/>
          <w:sz w:val="27"/>
          <w:szCs w:val="27"/>
          <w:rtl/>
        </w:rPr>
        <w:t>کنار هم قرار دادن همه چیز</w:t>
      </w:r>
      <w:r w:rsidRPr="009F302E">
        <w:rPr>
          <w:rFonts w:ascii="Times New Roman" w:eastAsia="Times New Roman" w:hAnsi="Times New Roman" w:cs="Times New Roman"/>
          <w:b/>
          <w:bCs/>
          <w:color w:val="303030"/>
          <w:sz w:val="27"/>
          <w:szCs w:val="27"/>
        </w:rPr>
        <w:t>»</w:t>
      </w:r>
      <w:r w:rsidRPr="009F302E">
        <w:rPr>
          <w:rFonts w:ascii="Times New Roman" w:eastAsia="Times New Roman" w:hAnsi="Times New Roman" w:cs="Times New Roman"/>
          <w:color w:val="303030"/>
          <w:sz w:val="27"/>
          <w:szCs w:val="27"/>
        </w:rPr>
        <w:t xml:space="preserve"> </w:t>
      </w:r>
      <w:r w:rsidRPr="009F302E">
        <w:rPr>
          <w:rFonts w:ascii="Times New Roman" w:eastAsia="Times New Roman" w:hAnsi="Times New Roman" w:cs="Times New Roman"/>
          <w:color w:val="303030"/>
          <w:sz w:val="27"/>
          <w:szCs w:val="27"/>
          <w:rtl/>
        </w:rPr>
        <w:t xml:space="preserve">پیرامون صنعت نفت، گاز و انرژی می‌پردازند. این اثر گستره وسیعی از مباحث، از جمله </w:t>
      </w:r>
      <w:r w:rsidRPr="009F302E">
        <w:rPr>
          <w:rFonts w:ascii="Times New Roman" w:eastAsia="Times New Roman" w:hAnsi="Times New Roman" w:cs="Times New Roman"/>
          <w:b/>
          <w:bCs/>
          <w:color w:val="303030"/>
          <w:sz w:val="27"/>
          <w:szCs w:val="27"/>
          <w:rtl/>
        </w:rPr>
        <w:t>مبانی علمی و تاریخی، علوم زمین، مهندسی حفاری و مخزن، عملیات فراساحلی، پالایش، تجارت، اقتصاد، حقوق بین‌الملل و مدیریت پروژه</w:t>
      </w:r>
      <w:r w:rsidRPr="009F302E">
        <w:rPr>
          <w:rFonts w:ascii="Times New Roman" w:eastAsia="Times New Roman" w:hAnsi="Times New Roman" w:cs="Times New Roman"/>
          <w:color w:val="303030"/>
          <w:sz w:val="27"/>
          <w:szCs w:val="27"/>
          <w:rtl/>
        </w:rPr>
        <w:t xml:space="preserve"> را پوشش می‌دهد. همچنین، بخش‌های مهمی به </w:t>
      </w:r>
      <w:r w:rsidRPr="009F302E">
        <w:rPr>
          <w:rFonts w:ascii="Times New Roman" w:eastAsia="Times New Roman" w:hAnsi="Times New Roman" w:cs="Times New Roman"/>
          <w:b/>
          <w:bCs/>
          <w:color w:val="303030"/>
          <w:sz w:val="27"/>
          <w:szCs w:val="27"/>
          <w:rtl/>
        </w:rPr>
        <w:t>فناوری‌های دیجیتال، ایمنی، پایداری، انتقال انرژی و بازنشستگی تجهیزات</w:t>
      </w:r>
      <w:r w:rsidRPr="009F302E">
        <w:rPr>
          <w:rFonts w:ascii="Times New Roman" w:eastAsia="Times New Roman" w:hAnsi="Times New Roman" w:cs="Times New Roman"/>
          <w:color w:val="303030"/>
          <w:sz w:val="27"/>
          <w:szCs w:val="27"/>
          <w:rtl/>
        </w:rPr>
        <w:t xml:space="preserve"> اختصاص یافته است. این مجموعه با ارائه </w:t>
      </w:r>
      <w:r w:rsidRPr="009F302E">
        <w:rPr>
          <w:rFonts w:ascii="Times New Roman" w:eastAsia="Times New Roman" w:hAnsi="Times New Roman" w:cs="Times New Roman"/>
          <w:b/>
          <w:bCs/>
          <w:color w:val="303030"/>
          <w:sz w:val="27"/>
          <w:szCs w:val="27"/>
          <w:rtl/>
        </w:rPr>
        <w:t>مطالعات موردی منطقه‌ای</w:t>
      </w:r>
      <w:r w:rsidRPr="009F302E">
        <w:rPr>
          <w:rFonts w:ascii="Times New Roman" w:eastAsia="Times New Roman" w:hAnsi="Times New Roman" w:cs="Times New Roman"/>
          <w:color w:val="303030"/>
          <w:sz w:val="27"/>
          <w:szCs w:val="27"/>
          <w:rtl/>
        </w:rPr>
        <w:t xml:space="preserve"> در سراسر جهان، به عنوان یک راهنمای مرجع کامل برای متخصصان، دانشجویان و سیاست‌گذاران طراحی شده است. دستورالعمل‌های گردآوری و منابع پیشنهادی نیز برای تکمیل و توسعه این دانشنامه تخصصی ارائه شده‌اند</w:t>
      </w:r>
      <w:r w:rsidRPr="009F302E">
        <w:rPr>
          <w:rFonts w:ascii="Times New Roman" w:eastAsia="Times New Roman" w:hAnsi="Times New Roman" w:cs="Times New Roman"/>
          <w:color w:val="303030"/>
          <w:sz w:val="27"/>
          <w:szCs w:val="27"/>
        </w:rPr>
        <w:t>.</w:t>
      </w:r>
    </w:p>
    <w:p w:rsidR="009F302E" w:rsidRPr="009F302E" w:rsidRDefault="009F302E" w:rsidP="009F302E">
      <w:pPr>
        <w:shd w:val="clear" w:color="auto" w:fill="FAF9F9"/>
        <w:bidi/>
        <w:spacing w:after="0" w:line="240" w:lineRule="atLeast"/>
        <w:jc w:val="center"/>
        <w:rPr>
          <w:rFonts w:ascii="Arial" w:eastAsia="Times New Roman" w:hAnsi="Arial" w:cs="Arial"/>
          <w:color w:val="5E5E5E"/>
          <w:spacing w:val="1"/>
          <w:sz w:val="18"/>
          <w:szCs w:val="18"/>
        </w:rPr>
      </w:pPr>
      <w:r w:rsidRPr="009F302E">
        <w:rPr>
          <w:rFonts w:ascii="Arial" w:eastAsia="Times New Roman" w:hAnsi="Arial" w:cs="Arial"/>
          <w:color w:val="5E5E5E"/>
          <w:spacing w:val="1"/>
          <w:sz w:val="18"/>
          <w:szCs w:val="18"/>
        </w:rPr>
        <w:t>Sunday, November 16</w:t>
      </w:r>
    </w:p>
    <w:p w:rsidR="009F302E" w:rsidRPr="009F302E" w:rsidRDefault="009F302E" w:rsidP="00977C95">
      <w:pPr>
        <w:shd w:val="clear" w:color="auto" w:fill="FAF9F9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03030"/>
          <w:sz w:val="27"/>
          <w:szCs w:val="27"/>
        </w:rPr>
      </w:pPr>
      <w:proofErr w:type="gramStart"/>
      <w:r w:rsidRPr="009F302E">
        <w:rPr>
          <w:rFonts w:ascii="Times New Roman" w:eastAsia="Times New Roman" w:hAnsi="Times New Roman" w:cs="Times New Roman"/>
          <w:color w:val="303030"/>
          <w:sz w:val="27"/>
          <w:szCs w:val="27"/>
        </w:rPr>
        <w:t>translate</w:t>
      </w:r>
      <w:proofErr w:type="gramEnd"/>
      <w:r w:rsidRPr="009F302E">
        <w:rPr>
          <w:rFonts w:ascii="Times New Roman" w:eastAsia="Times New Roman" w:hAnsi="Times New Roman" w:cs="Times New Roman"/>
          <w:color w:val="303030"/>
          <w:sz w:val="27"/>
          <w:szCs w:val="27"/>
        </w:rPr>
        <w:t xml:space="preserve"> to English</w:t>
      </w:r>
    </w:p>
    <w:p w:rsidR="009F302E" w:rsidRPr="009F302E" w:rsidRDefault="009F302E" w:rsidP="00977C95">
      <w:pPr>
        <w:shd w:val="clear" w:color="auto" w:fill="FAF9F9"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</w:rPr>
        <w:t>The sources contain a comprehensive 25-volume "Master Series" list provided in both English and Farsi/Persian.</w:t>
      </w:r>
    </w:p>
    <w:p w:rsidR="009F302E" w:rsidRPr="009F302E" w:rsidRDefault="009F302E" w:rsidP="00977C95">
      <w:pPr>
        <w:shd w:val="clear" w:color="auto" w:fill="FAF9F9"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</w:rPr>
        <w:t>The translation of the Farsi/Persian text found in the sources is as follows:</w:t>
      </w:r>
    </w:p>
    <w:p w:rsidR="009F302E" w:rsidRPr="009F302E" w:rsidRDefault="009F302E" w:rsidP="00977C95">
      <w:pPr>
        <w:shd w:val="clear" w:color="auto" w:fill="FAF9F9"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Series Title and Volumes 1–25</w:t>
      </w:r>
    </w:p>
    <w:p w:rsidR="009F302E" w:rsidRPr="009F302E" w:rsidRDefault="009F302E" w:rsidP="009F302E">
      <w:pPr>
        <w:numPr>
          <w:ilvl w:val="0"/>
          <w:numId w:val="1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کنار هم قرار دادن همه چیز – یک نمونه از «مجموعه اصلی»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۲۵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 جلدی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translates to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Putting It All Together – A 25-Volume “Master Series” Example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numPr>
          <w:ilvl w:val="0"/>
          <w:numId w:val="1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مبانی و تاریخچه نفت (جلد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۱)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translates to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Petroleum Fundamentals &amp; History (</w:t>
      </w:r>
      <w:proofErr w:type="spellStart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Vol</w:t>
      </w:r>
      <w:proofErr w:type="spellEnd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1)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numPr>
          <w:ilvl w:val="0"/>
          <w:numId w:val="1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۲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.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علوم زمین اکتشافی (جلد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۲-۳)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translates to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Exploration Geoscience (</w:t>
      </w:r>
      <w:proofErr w:type="spellStart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Vol</w:t>
      </w:r>
      <w:proofErr w:type="spellEnd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2-3)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numPr>
          <w:ilvl w:val="0"/>
          <w:numId w:val="1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مهندسی حفاری و چاه (جلد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۴-۵)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translates to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Drilling &amp; Well Engineering (</w:t>
      </w:r>
      <w:proofErr w:type="spellStart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Vol</w:t>
      </w:r>
      <w:proofErr w:type="spellEnd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4-5)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numPr>
          <w:ilvl w:val="0"/>
          <w:numId w:val="1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۴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.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مهندسی مخزن و شبیه‌سازی (جلد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۶-۷)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translates to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Reservoir Engineering &amp; Simulation (</w:t>
      </w:r>
      <w:proofErr w:type="spellStart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Vol</w:t>
      </w:r>
      <w:proofErr w:type="spellEnd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6-7)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numPr>
          <w:ilvl w:val="0"/>
          <w:numId w:val="1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فناوری تولید و فرازآوری مصنوعی (جلد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۸)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translates to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Production Technology &amp; Artificial Lift (</w:t>
      </w:r>
      <w:proofErr w:type="spellStart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Vol</w:t>
      </w:r>
      <w:proofErr w:type="spellEnd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8)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numPr>
          <w:ilvl w:val="0"/>
          <w:numId w:val="1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۶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.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سیستم‌های فراساحلی و زیردریا (جلد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۹)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translates to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Offshore &amp; Subsea Systems (</w:t>
      </w:r>
      <w:proofErr w:type="spellStart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Vol</w:t>
      </w:r>
      <w:proofErr w:type="spellEnd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9)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numPr>
          <w:ilvl w:val="0"/>
          <w:numId w:val="1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۷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.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منابع نامتعارف (جلد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۱۰)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translates to </w:t>
      </w:r>
      <w:proofErr w:type="spellStart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Unconventionals</w:t>
      </w:r>
      <w:proofErr w:type="spellEnd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(</w:t>
      </w:r>
      <w:proofErr w:type="spellStart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Vol</w:t>
      </w:r>
      <w:proofErr w:type="spellEnd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10)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numPr>
          <w:ilvl w:val="0"/>
          <w:numId w:val="1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۸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.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عملیات میان‌دستی (جلد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۱۱)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translates to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Midstream Operations (</w:t>
      </w:r>
      <w:proofErr w:type="spellStart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Vol</w:t>
      </w:r>
      <w:proofErr w:type="spellEnd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11)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numPr>
          <w:ilvl w:val="0"/>
          <w:numId w:val="1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۹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.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پالایش و پتروشیمی (جلد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۱۲)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translates to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Refining &amp; Petrochemicals (</w:t>
      </w:r>
      <w:proofErr w:type="spellStart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Vol</w:t>
      </w:r>
      <w:proofErr w:type="spellEnd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12)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numPr>
          <w:ilvl w:val="0"/>
          <w:numId w:val="1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lastRenderedPageBreak/>
        <w:t>۱۰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.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مدیریت تجارت و ریسک (جلد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۱۳)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translates to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Trading &amp; Risk Management (</w:t>
      </w:r>
      <w:proofErr w:type="spellStart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Vol</w:t>
      </w:r>
      <w:proofErr w:type="spellEnd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13)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numPr>
          <w:ilvl w:val="0"/>
          <w:numId w:val="1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۱۱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.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اقتصاد و سیستم‌های مالی (جلد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۱۴)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translates to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Economics &amp; Fiscal Systems (</w:t>
      </w:r>
      <w:proofErr w:type="spellStart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Vol</w:t>
      </w:r>
      <w:proofErr w:type="spellEnd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14)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numPr>
          <w:ilvl w:val="0"/>
          <w:numId w:val="1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۱۲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.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حسابداری و تامین مالی پروژه (جلد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۱۵)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translates to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Accounting &amp; Project Finance (</w:t>
      </w:r>
      <w:proofErr w:type="spellStart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Vol</w:t>
      </w:r>
      <w:proofErr w:type="spellEnd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15)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numPr>
          <w:ilvl w:val="0"/>
          <w:numId w:val="1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۱۳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.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قراردادها و حقوق بین‌الملل (جلد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۱۶)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translates to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Contracts &amp; International Law (</w:t>
      </w:r>
      <w:proofErr w:type="spellStart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Vol</w:t>
      </w:r>
      <w:proofErr w:type="spellEnd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16)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numPr>
          <w:ilvl w:val="0"/>
          <w:numId w:val="1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۱۴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.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مدیریت پروژه و زنجیره تأمین (جلد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۱۷)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translates to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Project Management &amp; Supply-Chain (</w:t>
      </w:r>
      <w:proofErr w:type="spellStart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Vol</w:t>
      </w:r>
      <w:proofErr w:type="spellEnd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17)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numPr>
          <w:ilvl w:val="0"/>
          <w:numId w:val="1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۱۵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.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ایمنی، بهداشت، محیط زیست و فرآیند (جلد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۱۸)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translates to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HSE &amp; Process Safety (</w:t>
      </w:r>
      <w:proofErr w:type="spellStart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Vol</w:t>
      </w:r>
      <w:proofErr w:type="spellEnd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18)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numPr>
          <w:ilvl w:val="0"/>
          <w:numId w:val="1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۱۶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.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پایداری و انتقال انرژی (جلد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۱۹)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translates to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Sustainability &amp; Energy Transition (</w:t>
      </w:r>
      <w:proofErr w:type="spellStart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Vol</w:t>
      </w:r>
      <w:proofErr w:type="spellEnd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19)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numPr>
          <w:ilvl w:val="0"/>
          <w:numId w:val="1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۱۷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.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دیجیتال و داده‌ها (جلد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۲۰)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translates to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Digital &amp; Data (</w:t>
      </w:r>
      <w:proofErr w:type="spellStart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Vol</w:t>
      </w:r>
      <w:proofErr w:type="spellEnd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20)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numPr>
          <w:ilvl w:val="0"/>
          <w:numId w:val="1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۱۸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.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از رده خارج کردن و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CCUS (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۲۱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)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translates to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Decommissioning &amp; CCUS (</w:t>
      </w:r>
      <w:proofErr w:type="spellStart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Vol</w:t>
      </w:r>
      <w:proofErr w:type="spellEnd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21)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numPr>
          <w:ilvl w:val="0"/>
          <w:numId w:val="1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۱۹-۲۵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.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مطالعات موردی منطقه‌ای (آمریکا، اروپا، خاورمیانه، آفریقا، آسیا و اقیانوسیه، قطب شمال و مرز، درس‌های جهانی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(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translates to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Regional Case Studies (Americas, Europe, ME, Africa, Asia-Pac, Arctic &amp; Frontier, Global Lessons)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shd w:val="clear" w:color="auto" w:fill="FAF9F9"/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03030"/>
          <w:sz w:val="27"/>
          <w:szCs w:val="27"/>
        </w:rPr>
      </w:pPr>
      <w:r w:rsidRPr="009F302E">
        <w:rPr>
          <w:rFonts w:ascii="Times New Roman" w:eastAsia="Times New Roman" w:hAnsi="Times New Roman" w:cs="Times New Roman"/>
          <w:color w:val="303030"/>
          <w:sz w:val="27"/>
          <w:szCs w:val="27"/>
        </w:rPr>
        <w:t>How is the vast petroleum industry scope organized across these twenty-five volumes?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مجموعه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۲۵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جلدی «مجموعه اصلی» که تحت عنوان «کنار هم قرار دادن همه چیز: راهنمای جامع صنعت نفت و انرژی» تدوین شده است، به منظور یکپارچه‌سازی جنبه‌های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فنی، اقتصادی، عملیاتی و زیست‌محیطی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صنعت جهانی نفت، سازماندهی شده است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.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این مجموعه بر اتصالات میان‌رشته‌ای تأکید دارد—اینکه چگونه اکتشافات بالادستی بر لجستیک میان‌دستی تأثیر می‌گذارند و چگونه با اهداف پایداری تلاقی می‌کنند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سازماندهی کلی این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۲۵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جلد گستره وسیع صنعت نفت و گاز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(O&amp;G)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را از اکتشافات بالادستی تا عملیات پایین‌دستی، اقتصاد، پایداری، و مطالعات منطقه‌ای پوشش می‌دهد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: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30"/>
          <w:szCs w:val="30"/>
        </w:rPr>
      </w:pPr>
      <w:r w:rsidRPr="009F302E">
        <w:rPr>
          <w:rFonts w:ascii="Arial" w:eastAsia="Times New Roman" w:hAnsi="Arial" w:cs="Arial"/>
          <w:color w:val="303030"/>
          <w:sz w:val="30"/>
          <w:szCs w:val="30"/>
          <w:rtl/>
          <w:lang w:bidi="fa-IR"/>
        </w:rPr>
        <w:t>۱</w:t>
      </w:r>
      <w:r w:rsidRPr="009F302E">
        <w:rPr>
          <w:rFonts w:ascii="Arial" w:eastAsia="Times New Roman" w:hAnsi="Arial" w:cs="Arial"/>
          <w:color w:val="303030"/>
          <w:sz w:val="30"/>
          <w:szCs w:val="30"/>
        </w:rPr>
        <w:t xml:space="preserve">. </w:t>
      </w:r>
      <w:r w:rsidRPr="009F302E">
        <w:rPr>
          <w:rFonts w:ascii="Arial" w:eastAsia="Times New Roman" w:hAnsi="Arial" w:cs="Arial"/>
          <w:color w:val="303030"/>
          <w:sz w:val="30"/>
          <w:szCs w:val="30"/>
          <w:rtl/>
        </w:rPr>
        <w:t>مبانی و عملیات بالادستی</w:t>
      </w:r>
      <w:r w:rsidRPr="009F302E">
        <w:rPr>
          <w:rFonts w:ascii="Arial" w:eastAsia="Times New Roman" w:hAnsi="Arial" w:cs="Arial"/>
          <w:color w:val="303030"/>
          <w:sz w:val="30"/>
          <w:szCs w:val="30"/>
        </w:rPr>
        <w:t xml:space="preserve"> (Upstream Operations)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این بخش با مبانی شروع شده و هسته فنی تولید هیدروکربن‌ها را پوشش می‌دهد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:</w:t>
      </w:r>
    </w:p>
    <w:p w:rsidR="009F302E" w:rsidRPr="009F302E" w:rsidRDefault="009F302E" w:rsidP="009F302E">
      <w:pPr>
        <w:numPr>
          <w:ilvl w:val="0"/>
          <w:numId w:val="2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 xml:space="preserve">۱: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مبانی و تاریخچه نفت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(Petroleum Fundamentals &amp; History)</w:t>
      </w:r>
    </w:p>
    <w:p w:rsidR="009F302E" w:rsidRPr="009F302E" w:rsidRDefault="009F302E" w:rsidP="009F302E">
      <w:pPr>
        <w:numPr>
          <w:ilvl w:val="1"/>
          <w:numId w:val="2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این جلد بنیادی، پایه‌های علم نفت، منشأ زمین‌شناختی آن و تکامل تاریخی آن را پوشش می‌دهد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.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موضوعات کلیدی شامل ترکیب شیمیایی هیدروکربن‌ها و نقاط عطف تاریخی هستند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numPr>
          <w:ilvl w:val="0"/>
          <w:numId w:val="2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lastRenderedPageBreak/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۲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 و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 xml:space="preserve">۳: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علوم زمین اکتشافی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(Exploration Geoscience)</w:t>
      </w:r>
    </w:p>
    <w:p w:rsidR="009F302E" w:rsidRPr="009F302E" w:rsidRDefault="009F302E" w:rsidP="009F302E">
      <w:pPr>
        <w:numPr>
          <w:ilvl w:val="1"/>
          <w:numId w:val="2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یک بررسی عمیق دو جلدی در مورد علم یافتن ذخایر نفت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.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موضوعات شامل لرزه‌نگاری، لاگ‌گیری چاه و ارزیابی ریسک (احتمال موفقیت زمین‌شناختی) است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numPr>
          <w:ilvl w:val="0"/>
          <w:numId w:val="2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۴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 و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 xml:space="preserve">۵: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مهندسی حفاری و چاه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(Drilling &amp; Well Engineering)</w:t>
      </w:r>
    </w:p>
    <w:p w:rsidR="009F302E" w:rsidRPr="009F302E" w:rsidRDefault="009F302E" w:rsidP="009F302E">
      <w:pPr>
        <w:numPr>
          <w:ilvl w:val="1"/>
          <w:numId w:val="2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بر مهندسی چاه‌ها، از برنامه‌ریزی تا تکمیل، از جمله حفاری جهت‌دار/افقی، کنترل چاه و پروتکل‌های ایمنی تمرکز دارد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numPr>
          <w:ilvl w:val="0"/>
          <w:numId w:val="2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۶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 و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 xml:space="preserve">۷: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مهندسی مخزن و شبیه‌سازی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(Reservoir Engineering &amp; Simulation)</w:t>
      </w:r>
    </w:p>
    <w:p w:rsidR="009F302E" w:rsidRPr="009F302E" w:rsidRDefault="009F302E" w:rsidP="009F302E">
      <w:pPr>
        <w:numPr>
          <w:ilvl w:val="1"/>
          <w:numId w:val="2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نحوه مدل‌سازی و مدیریت مخازن زیرسطحی برای بازیابی بهینه را بررسی می‌کند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.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موضوعات شامل مشخصه‌یابی مخزن، مکانیسم‌های محرکه، و نرم‌افزار شبیه‌سازی است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numPr>
          <w:ilvl w:val="0"/>
          <w:numId w:val="2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 xml:space="preserve">۸: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فناوری تولید و فرازآوری مصنوعی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(Production Technology &amp; Artificial Lift)</w:t>
      </w:r>
    </w:p>
    <w:p w:rsidR="009F302E" w:rsidRPr="009F302E" w:rsidRDefault="009F302E" w:rsidP="009F302E">
      <w:pPr>
        <w:numPr>
          <w:ilvl w:val="1"/>
          <w:numId w:val="2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جزئیات فناوری‌های سطحی و زیرسطحی برای استخراج و بهینه‌سازی تولید، از جمله روش‌های فرازآوری مصنوعی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مانند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ESPs)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و مدیریت میادین بالغ را شرح می‌دهد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30"/>
          <w:szCs w:val="30"/>
        </w:rPr>
      </w:pPr>
      <w:r w:rsidRPr="009F302E">
        <w:rPr>
          <w:rFonts w:ascii="Arial" w:eastAsia="Times New Roman" w:hAnsi="Arial" w:cs="Arial"/>
          <w:color w:val="303030"/>
          <w:sz w:val="30"/>
          <w:szCs w:val="30"/>
          <w:rtl/>
          <w:lang w:bidi="fa-IR"/>
        </w:rPr>
        <w:t>۲</w:t>
      </w:r>
      <w:r w:rsidRPr="009F302E">
        <w:rPr>
          <w:rFonts w:ascii="Arial" w:eastAsia="Times New Roman" w:hAnsi="Arial" w:cs="Arial"/>
          <w:color w:val="303030"/>
          <w:sz w:val="30"/>
          <w:szCs w:val="30"/>
        </w:rPr>
        <w:t xml:space="preserve">. </w:t>
      </w:r>
      <w:r w:rsidRPr="009F302E">
        <w:rPr>
          <w:rFonts w:ascii="Arial" w:eastAsia="Times New Roman" w:hAnsi="Arial" w:cs="Arial"/>
          <w:color w:val="303030"/>
          <w:sz w:val="30"/>
          <w:szCs w:val="30"/>
          <w:rtl/>
        </w:rPr>
        <w:t>سیستم‌های تخصصی و میان‌دستی/پایین‌دستی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این مجلدات عملیات خاص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(Offshore, Unconventional)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و بخش‌های انتقال و پالایش را پوشش می‌دهند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:</w:t>
      </w:r>
    </w:p>
    <w:p w:rsidR="009F302E" w:rsidRPr="009F302E" w:rsidRDefault="009F302E" w:rsidP="009F302E">
      <w:pPr>
        <w:numPr>
          <w:ilvl w:val="0"/>
          <w:numId w:val="3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 xml:space="preserve">۹: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سیستم‌های فراساحلی و زیردریا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(Offshore &amp; Subsea Systems)</w:t>
      </w:r>
    </w:p>
    <w:p w:rsidR="009F302E" w:rsidRPr="009F302E" w:rsidRDefault="009F302E" w:rsidP="009F302E">
      <w:pPr>
        <w:numPr>
          <w:ilvl w:val="1"/>
          <w:numId w:val="3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مهندسی محیط‌های آب‌های عمیق و زیردریا، از جمله سکوها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ثابت، شناور،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FPSOs)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و سیستم‌های رایزر را پوشش می‌دهد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numPr>
          <w:ilvl w:val="0"/>
          <w:numId w:val="3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 xml:space="preserve">۱۰: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منابع نامتعارف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(</w:t>
      </w:r>
      <w:proofErr w:type="spellStart"/>
      <w:r w:rsidRPr="009F302E">
        <w:rPr>
          <w:rFonts w:ascii="Arial" w:eastAsia="Times New Roman" w:hAnsi="Arial" w:cs="Arial"/>
          <w:color w:val="303030"/>
          <w:sz w:val="26"/>
          <w:szCs w:val="26"/>
        </w:rPr>
        <w:t>Unconventionals</w:t>
      </w:r>
      <w:proofErr w:type="spellEnd"/>
      <w:r w:rsidRPr="009F302E">
        <w:rPr>
          <w:rFonts w:ascii="Arial" w:eastAsia="Times New Roman" w:hAnsi="Arial" w:cs="Arial"/>
          <w:color w:val="303030"/>
          <w:sz w:val="26"/>
          <w:szCs w:val="26"/>
        </w:rPr>
        <w:t>)</w:t>
      </w:r>
    </w:p>
    <w:p w:rsidR="009F302E" w:rsidRPr="009F302E" w:rsidRDefault="009F302E" w:rsidP="009F302E">
      <w:pPr>
        <w:numPr>
          <w:ilvl w:val="1"/>
          <w:numId w:val="3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بر منابع غیرسنتی مانند نفت شیل، گاز محکم، و متان بستر زغال‌سنگ، از جمله روش‌های شکست هیدرولیکی و ملاحظات زیست‌محیطی متمرکز است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numPr>
          <w:ilvl w:val="0"/>
          <w:numId w:val="3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 xml:space="preserve">۱۱: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عملیات میان‌دستی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(Midstream Operations)</w:t>
      </w:r>
    </w:p>
    <w:p w:rsidR="009F302E" w:rsidRPr="009F302E" w:rsidRDefault="009F302E" w:rsidP="009F302E">
      <w:pPr>
        <w:numPr>
          <w:ilvl w:val="1"/>
          <w:numId w:val="3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حمل و نقل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خطوط لوله، تانکرها، پایانه‌های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LNG)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، ذخیره‌سازی و فرآوری هیدروکربن‌ها را بررسی می‌کند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numPr>
          <w:ilvl w:val="0"/>
          <w:numId w:val="3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 xml:space="preserve">۱۲: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پالایش و پتروشیمی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(Refining &amp; Petrochemicals)</w:t>
      </w:r>
    </w:p>
    <w:p w:rsidR="009F302E" w:rsidRPr="009F302E" w:rsidRDefault="009F302E" w:rsidP="009F302E">
      <w:pPr>
        <w:numPr>
          <w:ilvl w:val="1"/>
          <w:numId w:val="3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جزئیات تبدیل پایین‌دستی نفت خام به محصولات، شامل فرآیندهای تقطیر، کراکینگ و اصلاح، و استانداردهای محصول را شرح می‌دهد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30"/>
          <w:szCs w:val="30"/>
        </w:rPr>
      </w:pPr>
      <w:r w:rsidRPr="009F302E">
        <w:rPr>
          <w:rFonts w:ascii="Arial" w:eastAsia="Times New Roman" w:hAnsi="Arial" w:cs="Arial"/>
          <w:color w:val="303030"/>
          <w:sz w:val="30"/>
          <w:szCs w:val="30"/>
          <w:rtl/>
          <w:lang w:bidi="fa-IR"/>
        </w:rPr>
        <w:t>۳</w:t>
      </w:r>
      <w:r w:rsidRPr="009F302E">
        <w:rPr>
          <w:rFonts w:ascii="Arial" w:eastAsia="Times New Roman" w:hAnsi="Arial" w:cs="Arial"/>
          <w:color w:val="303030"/>
          <w:sz w:val="30"/>
          <w:szCs w:val="30"/>
        </w:rPr>
        <w:t xml:space="preserve">. </w:t>
      </w:r>
      <w:r w:rsidRPr="009F302E">
        <w:rPr>
          <w:rFonts w:ascii="Arial" w:eastAsia="Times New Roman" w:hAnsi="Arial" w:cs="Arial"/>
          <w:color w:val="303030"/>
          <w:sz w:val="30"/>
          <w:szCs w:val="30"/>
          <w:rtl/>
        </w:rPr>
        <w:t>امور مالی، تجاری، حقوقی و مدیریت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این مجلدات جنبه‌های اقتصادی، قانونی و مدیریتی صنعت را بررسی می‌کنند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:</w:t>
      </w:r>
    </w:p>
    <w:p w:rsidR="009F302E" w:rsidRPr="009F302E" w:rsidRDefault="009F302E" w:rsidP="009F302E">
      <w:pPr>
        <w:numPr>
          <w:ilvl w:val="0"/>
          <w:numId w:val="4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 xml:space="preserve">۱۳: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مدیریت تجارت و ریسک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(Trading &amp; Risk Management)</w:t>
      </w:r>
    </w:p>
    <w:p w:rsidR="009F302E" w:rsidRPr="009F302E" w:rsidRDefault="009F302E" w:rsidP="009F302E">
      <w:pPr>
        <w:numPr>
          <w:ilvl w:val="1"/>
          <w:numId w:val="4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جنبه مالی تجارت کالا، پوشش ریسک، بازارها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مانند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NYMEX, ICE)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و مدل‌های ریسک را پوشش می‌دهد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numPr>
          <w:ilvl w:val="0"/>
          <w:numId w:val="4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 xml:space="preserve">۱۴: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اقتصاد و سیستم‌های مالی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(Economics &amp; Fiscal Systems)</w:t>
      </w:r>
    </w:p>
    <w:p w:rsidR="009F302E" w:rsidRPr="009F302E" w:rsidRDefault="009F302E" w:rsidP="009F302E">
      <w:pPr>
        <w:numPr>
          <w:ilvl w:val="1"/>
          <w:numId w:val="4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lastRenderedPageBreak/>
        <w:t>مدل‌های اقتصادی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مانند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NPV, IRR)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و رژیم‌های مالی دولتی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مانند قراردادهای مشارکت در تولید یا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PSCs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، حق امتیاز و مالیات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)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را تحلیل می‌کند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numPr>
          <w:ilvl w:val="0"/>
          <w:numId w:val="4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 xml:space="preserve">۱۵: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حسابداری و تامین مالی پروژه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(Accounting &amp; Project Finance)</w:t>
      </w:r>
    </w:p>
    <w:p w:rsidR="009F302E" w:rsidRPr="009F302E" w:rsidRDefault="009F302E" w:rsidP="009F302E">
      <w:pPr>
        <w:numPr>
          <w:ilvl w:val="1"/>
          <w:numId w:val="4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بر گزارشگری مالی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(IFRS/GAAP)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و تامین مالی پروژه‌های نفت و گاز، از جمله سرمایه‌گذاری مشترک متمرکز است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numPr>
          <w:ilvl w:val="0"/>
          <w:numId w:val="4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 xml:space="preserve">۱۶: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قراردادها و حقوق بین‌الملل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(Contracts &amp; International Law)</w:t>
      </w:r>
    </w:p>
    <w:p w:rsidR="009F302E" w:rsidRPr="009F302E" w:rsidRDefault="009F302E" w:rsidP="009F302E">
      <w:pPr>
        <w:numPr>
          <w:ilvl w:val="1"/>
          <w:numId w:val="4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چارچوب‌های قانونی برای توافق‌نامه‌های نفت و گاز، داوری بین‌المللی و قوانین تحریم و تجارت را بررسی می‌کند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numPr>
          <w:ilvl w:val="0"/>
          <w:numId w:val="4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 xml:space="preserve">۱۷: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مدیریت پروژه و زنجیره تأمین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(Project Management &amp; Supply-Chain)</w:t>
      </w:r>
    </w:p>
    <w:p w:rsidR="009F302E" w:rsidRPr="009F302E" w:rsidRDefault="009F302E" w:rsidP="009F302E">
      <w:pPr>
        <w:numPr>
          <w:ilvl w:val="1"/>
          <w:numId w:val="4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برنامه‌ریزی، اجرا، لجستیک برای پروژه‌های بزرگ، شامل اصول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PMBOK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، قراردادهای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EPC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و ثبت ریسک را پوشش می‌دهد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30"/>
          <w:szCs w:val="30"/>
        </w:rPr>
      </w:pPr>
      <w:r w:rsidRPr="009F302E">
        <w:rPr>
          <w:rFonts w:ascii="Arial" w:eastAsia="Times New Roman" w:hAnsi="Arial" w:cs="Arial"/>
          <w:color w:val="303030"/>
          <w:sz w:val="30"/>
          <w:szCs w:val="30"/>
          <w:rtl/>
          <w:lang w:bidi="fa-IR"/>
        </w:rPr>
        <w:t>۴</w:t>
      </w:r>
      <w:r w:rsidRPr="009F302E">
        <w:rPr>
          <w:rFonts w:ascii="Arial" w:eastAsia="Times New Roman" w:hAnsi="Arial" w:cs="Arial"/>
          <w:color w:val="303030"/>
          <w:sz w:val="30"/>
          <w:szCs w:val="30"/>
        </w:rPr>
        <w:t xml:space="preserve">. </w:t>
      </w:r>
      <w:r w:rsidRPr="009F302E">
        <w:rPr>
          <w:rFonts w:ascii="Arial" w:eastAsia="Times New Roman" w:hAnsi="Arial" w:cs="Arial"/>
          <w:color w:val="303030"/>
          <w:sz w:val="30"/>
          <w:szCs w:val="30"/>
          <w:rtl/>
        </w:rPr>
        <w:t>ایمنی، پایداری و فناوری‌های آینده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این مجلدات بر مدیریت ریسک، مسائل زیست‌محیطی و انتقال انرژی تمرکز دارند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:</w:t>
      </w:r>
    </w:p>
    <w:p w:rsidR="009F302E" w:rsidRPr="009F302E" w:rsidRDefault="009F302E" w:rsidP="009F302E">
      <w:pPr>
        <w:numPr>
          <w:ilvl w:val="0"/>
          <w:numId w:val="5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 xml:space="preserve">۱۸: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ایمنی، بهداشت، محیط زیست و فرآیند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(HSE &amp; Process Safety)</w:t>
      </w:r>
    </w:p>
    <w:p w:rsidR="009F302E" w:rsidRPr="009F302E" w:rsidRDefault="009F302E" w:rsidP="009F302E">
      <w:pPr>
        <w:numPr>
          <w:ilvl w:val="1"/>
          <w:numId w:val="5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بر سلامت، ایمنی، محیط زیست و مدیریت ایمنی فرآیند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(PSM)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، از جمله ارزیابی‌های تأثیر زیست‌محیطی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(EIAs)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تأکید دارد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numPr>
          <w:ilvl w:val="0"/>
          <w:numId w:val="5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 xml:space="preserve">۱۹: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پایداری و انتقال انرژی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(Sustainability &amp; Energy Transition)</w:t>
      </w:r>
    </w:p>
    <w:p w:rsidR="009F302E" w:rsidRPr="009F302E" w:rsidRDefault="009F302E" w:rsidP="009F302E">
      <w:pPr>
        <w:numPr>
          <w:ilvl w:val="1"/>
          <w:numId w:val="5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به عوامل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ESG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و تغییر به سمت انرژی‌های تجدیدپذیر، از جمله کاهش ردپای کربن و استراتژی‌های خالص صفر می‌پردازد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numPr>
          <w:ilvl w:val="0"/>
          <w:numId w:val="5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 xml:space="preserve">۲۰: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دیجیتال و داده‌ها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(Digital &amp; Data)</w:t>
      </w:r>
    </w:p>
    <w:p w:rsidR="009F302E" w:rsidRPr="009F302E" w:rsidRDefault="009F302E" w:rsidP="009F302E">
      <w:pPr>
        <w:numPr>
          <w:ilvl w:val="1"/>
          <w:numId w:val="5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تحول دیجیتال در صنعت را بررسی می‌کند، شامل داده‌های بزرگ، هوش مصنوعی/یادگیری ماشین، اینترنت اشیا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</w:t>
      </w:r>
      <w:proofErr w:type="spellStart"/>
      <w:r w:rsidRPr="009F302E">
        <w:rPr>
          <w:rFonts w:ascii="Arial" w:eastAsia="Times New Roman" w:hAnsi="Arial" w:cs="Arial"/>
          <w:color w:val="303030"/>
          <w:sz w:val="26"/>
          <w:szCs w:val="26"/>
        </w:rPr>
        <w:t>IoT</w:t>
      </w:r>
      <w:proofErr w:type="spellEnd"/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)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و دوقلوهای دیجیتال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numPr>
          <w:ilvl w:val="0"/>
          <w:numId w:val="5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 xml:space="preserve">۲۱: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از رده خارج کردن و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CCUS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(Decommissioning &amp; CCUS)</w:t>
      </w:r>
    </w:p>
    <w:p w:rsidR="009F302E" w:rsidRPr="009F302E" w:rsidRDefault="009F302E" w:rsidP="009F302E">
      <w:pPr>
        <w:numPr>
          <w:ilvl w:val="1"/>
          <w:numId w:val="5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مدیریت دارایی در پایان عمر (مانند پلاگین و رهاسازی چاه‌ها) و فناوری‌های جذب، ذخیره‌سازی و استفاده از کربن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(CCUS)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را پوشش می‌دهد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30"/>
          <w:szCs w:val="30"/>
        </w:rPr>
      </w:pPr>
      <w:r w:rsidRPr="009F302E">
        <w:rPr>
          <w:rFonts w:ascii="Arial" w:eastAsia="Times New Roman" w:hAnsi="Arial" w:cs="Arial"/>
          <w:color w:val="303030"/>
          <w:sz w:val="30"/>
          <w:szCs w:val="30"/>
          <w:rtl/>
          <w:lang w:bidi="fa-IR"/>
        </w:rPr>
        <w:t>۵</w:t>
      </w:r>
      <w:r w:rsidRPr="009F302E">
        <w:rPr>
          <w:rFonts w:ascii="Arial" w:eastAsia="Times New Roman" w:hAnsi="Arial" w:cs="Arial"/>
          <w:color w:val="303030"/>
          <w:sz w:val="30"/>
          <w:szCs w:val="30"/>
        </w:rPr>
        <w:t xml:space="preserve">. </w:t>
      </w:r>
      <w:r w:rsidRPr="009F302E">
        <w:rPr>
          <w:rFonts w:ascii="Arial" w:eastAsia="Times New Roman" w:hAnsi="Arial" w:cs="Arial"/>
          <w:color w:val="303030"/>
          <w:sz w:val="30"/>
          <w:szCs w:val="30"/>
          <w:rtl/>
        </w:rPr>
        <w:t>کاربرد و مطالعات موردی منطقه‌ای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هفت جلد پایانی به جمع‌بندی و کاربرد جهانی اختصاص دارند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:</w:t>
      </w:r>
    </w:p>
    <w:p w:rsidR="009F302E" w:rsidRPr="009F302E" w:rsidRDefault="009F302E" w:rsidP="009F302E">
      <w:pPr>
        <w:numPr>
          <w:ilvl w:val="0"/>
          <w:numId w:val="6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 xml:space="preserve">۱۹-۲۵: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مطالعات موردی منطقه‌ای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(Regional Case Studies)</w:t>
      </w:r>
    </w:p>
    <w:p w:rsidR="009F302E" w:rsidRPr="009F302E" w:rsidRDefault="009F302E" w:rsidP="009F302E">
      <w:pPr>
        <w:numPr>
          <w:ilvl w:val="1"/>
          <w:numId w:val="6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این مجلدات، که به چهار جلد عمیق تقسیم شده‌اند، شامل تجزیه و تحلیل‌های منطقه‌ای دقیق هستند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.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این مناطق شامل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قاره آمریکا، اروپا، خاورمیانه، آفریقا، آسیا و اقیانوسیه، قطب شمال و مرز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هستند و همچنین دروسی را از عملیات جهانی جمع‌آوری می‌کنند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.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این مطالعات شامل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lastRenderedPageBreak/>
        <w:t>بررسی‌های زمین‌شناختی/اقتصادی و چالش‌های خاص منطقه‌ای (مانند مسائل ژئوپلیتیک آفریقا) می‌باشند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به طور خلاصه، این مجموعه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۲۵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جلدی مانند یک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نقشه راه جامع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طراحی شده است که خواننده را از تاریخ و علم پایه نفت به سمت ابزارهای فنی پیچیده برای یافتن (اکتشاف) و استخراج (حفاری، مخزن، تولید) هدایت می‌کند، سپس به بخش‌های ضروری تجارت (میان‌دستی، پایین‌دستی، مالی و حقوقی) می‌پردازد و در نهایت بر چالش‌های آینده (پایداری، دیجیتال و از رده خارج کردن) متمرکز می‌شود و همه این مفاهیم را از طریق مطالعات موردی منطقه‌ای به کار می‌گیرد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shd w:val="clear" w:color="auto" w:fill="FAF9F9"/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03030"/>
          <w:sz w:val="27"/>
          <w:szCs w:val="27"/>
        </w:rPr>
      </w:pPr>
      <w:r w:rsidRPr="009F302E">
        <w:rPr>
          <w:rFonts w:ascii="Times New Roman" w:eastAsia="Times New Roman" w:hAnsi="Times New Roman" w:cs="Times New Roman"/>
          <w:color w:val="303030"/>
          <w:sz w:val="27"/>
          <w:szCs w:val="27"/>
        </w:rPr>
        <w:t>Which specific volumes address future energy challenges like sustainability and CCUS?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بر اساس منابع ارائه شده، چالش‌های انرژی آینده مانند پایداری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(Sustainability)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و جذب، ذخیره‌سازی و استفاده از کربن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(CCUS)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در دو جلد اصلی از مجموعه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۲۵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جلدی «مجموعه اصلی» مورد بررسی قرار گرفته‌اند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: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30"/>
          <w:szCs w:val="30"/>
        </w:rPr>
      </w:pPr>
      <w:r w:rsidRPr="009F302E">
        <w:rPr>
          <w:rFonts w:ascii="Arial" w:eastAsia="Times New Roman" w:hAnsi="Arial" w:cs="Arial"/>
          <w:color w:val="303030"/>
          <w:sz w:val="30"/>
          <w:szCs w:val="30"/>
          <w:rtl/>
          <w:lang w:bidi="fa-IR"/>
        </w:rPr>
        <w:t>۱</w:t>
      </w:r>
      <w:r w:rsidRPr="009F302E">
        <w:rPr>
          <w:rFonts w:ascii="Arial" w:eastAsia="Times New Roman" w:hAnsi="Arial" w:cs="Arial"/>
          <w:color w:val="303030"/>
          <w:sz w:val="30"/>
          <w:szCs w:val="30"/>
        </w:rPr>
        <w:t xml:space="preserve">. </w:t>
      </w:r>
      <w:r w:rsidRPr="009F302E">
        <w:rPr>
          <w:rFonts w:ascii="Arial" w:eastAsia="Times New Roman" w:hAnsi="Arial" w:cs="Arial"/>
          <w:color w:val="303030"/>
          <w:sz w:val="30"/>
          <w:szCs w:val="30"/>
          <w:rtl/>
        </w:rPr>
        <w:t>پایداری و انتقال انرژی</w:t>
      </w:r>
      <w:r w:rsidRPr="009F302E">
        <w:rPr>
          <w:rFonts w:ascii="Arial" w:eastAsia="Times New Roman" w:hAnsi="Arial" w:cs="Arial"/>
          <w:color w:val="303030"/>
          <w:sz w:val="30"/>
          <w:szCs w:val="30"/>
        </w:rPr>
        <w:t xml:space="preserve"> (Sustainability &amp; Energy Transition)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۱۹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با عنوان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«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پایداری و انتقال انرژی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»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(Sustainability &amp; Energy Transition)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مستقیماً به چالش‌های زیست‌محیطی آینده می‌پردازد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۹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۱۳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۱۴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دامنه محتوا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: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این جلد بر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عوامل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ESG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(محیط زیستی، اجتماعی و حاکمیتی) و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گذار صنعت به سمت انرژی‌های تجدیدپذیر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متمرکز است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 xml:space="preserve">۹].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موضوعات کلیدی مطرح شده در این جلد عبارتند از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:</w:t>
      </w:r>
    </w:p>
    <w:p w:rsidR="009F302E" w:rsidRPr="009F302E" w:rsidRDefault="009F302E" w:rsidP="009F302E">
      <w:pPr>
        <w:numPr>
          <w:ilvl w:val="0"/>
          <w:numId w:val="7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کاهش ردپای کربن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و مدیریت انتشار متان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۹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numPr>
          <w:ilvl w:val="0"/>
          <w:numId w:val="7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استراتژی‌ها و سیاست‌های خالص صفر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(Net-zero strategies)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، از جمله چارچوب‌هایی مانند توافق‌نامه پاریس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۹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numPr>
          <w:ilvl w:val="0"/>
          <w:numId w:val="7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ادغام انرژی‌های تجدیدپذیر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، مانند تولید هیدروژن از گاز طبیعی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۹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numPr>
          <w:ilvl w:val="0"/>
          <w:numId w:val="7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بررسی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اقتصاد چرخشی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(Circular economy)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در صنعت نفت و گاز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۹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numPr>
          <w:ilvl w:val="0"/>
          <w:numId w:val="7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۱۹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با جلد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۲۱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(CCUS)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مرتبط است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۱۰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30"/>
          <w:szCs w:val="30"/>
        </w:rPr>
      </w:pPr>
      <w:r w:rsidRPr="009F302E">
        <w:rPr>
          <w:rFonts w:ascii="Arial" w:eastAsia="Times New Roman" w:hAnsi="Arial" w:cs="Arial"/>
          <w:color w:val="303030"/>
          <w:sz w:val="30"/>
          <w:szCs w:val="30"/>
          <w:rtl/>
          <w:lang w:bidi="fa-IR"/>
        </w:rPr>
        <w:t>۲</w:t>
      </w:r>
      <w:r w:rsidRPr="009F302E">
        <w:rPr>
          <w:rFonts w:ascii="Arial" w:eastAsia="Times New Roman" w:hAnsi="Arial" w:cs="Arial"/>
          <w:color w:val="303030"/>
          <w:sz w:val="30"/>
          <w:szCs w:val="30"/>
        </w:rPr>
        <w:t xml:space="preserve">. </w:t>
      </w:r>
      <w:r w:rsidRPr="009F302E">
        <w:rPr>
          <w:rFonts w:ascii="Arial" w:eastAsia="Times New Roman" w:hAnsi="Arial" w:cs="Arial"/>
          <w:color w:val="303030"/>
          <w:sz w:val="30"/>
          <w:szCs w:val="30"/>
          <w:rtl/>
        </w:rPr>
        <w:t>از رده خارج کردن و</w:t>
      </w:r>
      <w:r w:rsidRPr="009F302E">
        <w:rPr>
          <w:rFonts w:ascii="Arial" w:eastAsia="Times New Roman" w:hAnsi="Arial" w:cs="Arial"/>
          <w:color w:val="303030"/>
          <w:sz w:val="30"/>
          <w:szCs w:val="30"/>
        </w:rPr>
        <w:t xml:space="preserve"> CCUS (Decommissioning &amp; CCUS)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۲۱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با عنوان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«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از رده خارج کردن و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CCUS»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(Decommissioning &amp; CCUS)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به‌طور خاص به فناوری‌های جذب کربن می‌پردازد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۱۰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۱۳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۱۵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دامنه محتوا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: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این جلد مدیریت دارایی‌های پایان عمر (مانند عملیات «پلاگین و رهاسازی» چاه‌ها) و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فناوری‌های مورد نیاز برای کاهش انتشار کربن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را پوشش می‌دهد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 xml:space="preserve">۱۰].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موضوعات مرتبط با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CCUS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شامل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:</w:t>
      </w:r>
    </w:p>
    <w:p w:rsidR="009F302E" w:rsidRPr="009F302E" w:rsidRDefault="009F302E" w:rsidP="009F302E">
      <w:pPr>
        <w:numPr>
          <w:ilvl w:val="0"/>
          <w:numId w:val="8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فناوری‌های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CCUS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که سه بخش اصلی جذب، ذخیره‌سازی و استفاده از کربن را در بر می‌گیرد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۱۰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numPr>
          <w:ilvl w:val="0"/>
          <w:numId w:val="8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اقتصاد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مربوط به از رده خارج کردن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(Decommissioning)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۱۰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numPr>
          <w:ilvl w:val="0"/>
          <w:numId w:val="8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این جلد با جلد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۱۹ (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پایداری) ارتباط متقابل دارد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۱۰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30"/>
          <w:szCs w:val="30"/>
        </w:rPr>
      </w:pPr>
      <w:r w:rsidRPr="009F302E">
        <w:rPr>
          <w:rFonts w:ascii="Arial" w:eastAsia="Times New Roman" w:hAnsi="Arial" w:cs="Arial"/>
          <w:color w:val="303030"/>
          <w:sz w:val="30"/>
          <w:szCs w:val="30"/>
          <w:rtl/>
        </w:rPr>
        <w:lastRenderedPageBreak/>
        <w:t>زمینه‌های مرتبط</w:t>
      </w:r>
      <w:r w:rsidRPr="009F302E">
        <w:rPr>
          <w:rFonts w:ascii="Arial" w:eastAsia="Times New Roman" w:hAnsi="Arial" w:cs="Arial"/>
          <w:color w:val="303030"/>
          <w:sz w:val="30"/>
          <w:szCs w:val="30"/>
        </w:rPr>
        <w:t>: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علاوه بر این دو جلد تخصصی، مفهوم تزریق دی‌اکسید کربن به‌عنوان یک روش مرتبط در مباحث فنی نیز مطرح شده است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:</w:t>
      </w:r>
    </w:p>
    <w:p w:rsidR="009F302E" w:rsidRPr="009F302E" w:rsidRDefault="009F302E" w:rsidP="009F302E">
      <w:pPr>
        <w:numPr>
          <w:ilvl w:val="0"/>
          <w:numId w:val="9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مهندسی مخزن و شبیه‌سازی (جلد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۶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 و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۷)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به مدیریت مخازن برای بازیابی بهینه می‌پردازد و یکی از مکانیسم‌های بازیابی پیشرفته نفت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(EOR)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که در این مجلدات پوشش داده شده،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تزریق دی‌اکسید کربن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است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 xml:space="preserve">۶].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این تزریق می‌تواند هم به عنوان ابزار افزایش تولید و هم به عنوان بخشی از استراتژی ذخیره‌سازی کربن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بخشی از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CCUS)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استفاده شود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۶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shd w:val="clear" w:color="auto" w:fill="FAF9F9"/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03030"/>
          <w:sz w:val="27"/>
          <w:szCs w:val="27"/>
        </w:rPr>
      </w:pPr>
      <w:r w:rsidRPr="009F302E">
        <w:rPr>
          <w:rFonts w:ascii="Times New Roman" w:eastAsia="Times New Roman" w:hAnsi="Times New Roman" w:cs="Times New Roman"/>
          <w:color w:val="303030"/>
          <w:sz w:val="27"/>
          <w:szCs w:val="27"/>
        </w:rPr>
        <w:t>Which specific volumes address future energy challenges like sustainability and CCUS?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چالش‌های انرژی آینده مانند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پایداری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(Sustainability)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و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جذب، ذخیره‌سازی و استفاده از کربن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(CCUS)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به‌طور عمچالش‌های انرژی آینده مانند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پایداری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(Sustainability)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و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جذب، ذخیره‌سازی و استفاده از کربن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(CCUS)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به‌طور عمده در دو جلد اختصاصی از مجموعه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۲۵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جلدی «مجموعه اصلی» پوشش داده شده‌اند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۱۳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۱۵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]: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30"/>
          <w:szCs w:val="30"/>
        </w:rPr>
      </w:pPr>
      <w:r w:rsidRPr="009F302E">
        <w:rPr>
          <w:rFonts w:ascii="Arial" w:eastAsia="Times New Roman" w:hAnsi="Arial" w:cs="Arial"/>
          <w:color w:val="303030"/>
          <w:sz w:val="30"/>
          <w:szCs w:val="30"/>
          <w:rtl/>
          <w:lang w:bidi="fa-IR"/>
        </w:rPr>
        <w:t>۱</w:t>
      </w:r>
      <w:r w:rsidRPr="009F302E">
        <w:rPr>
          <w:rFonts w:ascii="Arial" w:eastAsia="Times New Roman" w:hAnsi="Arial" w:cs="Arial"/>
          <w:color w:val="303030"/>
          <w:sz w:val="30"/>
          <w:szCs w:val="30"/>
        </w:rPr>
        <w:t xml:space="preserve">. </w:t>
      </w:r>
      <w:r w:rsidRPr="009F302E">
        <w:rPr>
          <w:rFonts w:ascii="Arial" w:eastAsia="Times New Roman" w:hAnsi="Arial" w:cs="Arial"/>
          <w:color w:val="303030"/>
          <w:sz w:val="30"/>
          <w:szCs w:val="30"/>
          <w:rtl/>
        </w:rPr>
        <w:t>پایداری و انتقال انرژی</w:t>
      </w:r>
      <w:r w:rsidRPr="009F302E">
        <w:rPr>
          <w:rFonts w:ascii="Arial" w:eastAsia="Times New Roman" w:hAnsi="Arial" w:cs="Arial"/>
          <w:color w:val="303030"/>
          <w:sz w:val="30"/>
          <w:szCs w:val="30"/>
        </w:rPr>
        <w:t xml:space="preserve"> (Sustainability &amp; Energy Transition)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۱۹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با عنوان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«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پایداری و انتقال انرژی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»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(Sustainability &amp; Energy Transition)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مستقیماً به موضوع پایداری و تغییر جهت‌گیری صنعت انرژی می‌پردازد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۹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۱۳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۱۴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موضوعات کلیدی مرتبط با پایداری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:</w:t>
      </w:r>
    </w:p>
    <w:p w:rsidR="009F302E" w:rsidRPr="009F302E" w:rsidRDefault="009F302E" w:rsidP="009F302E">
      <w:pPr>
        <w:numPr>
          <w:ilvl w:val="0"/>
          <w:numId w:val="10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این جلد به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عوامل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ESG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(محیط زیستی، اجتماعی و حاکمیتی) و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گذار صنعت به سمت انرژی‌های تجدیدپذیر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می‌پردازد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۹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numPr>
          <w:ilvl w:val="0"/>
          <w:numId w:val="10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برنامه‌های کاهش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ردپای کربن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و مدیریت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انتشار متان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۹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numPr>
          <w:ilvl w:val="0"/>
          <w:numId w:val="10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بررسی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استراتژی‌های خالص صفر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(Net-zero strategies)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و سیاست‌ها، از جمله چارچوب‌های بین‌المللی مانند توافق‌نامه پاریس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۹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numPr>
          <w:ilvl w:val="0"/>
          <w:numId w:val="10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موضوعات مرتبط با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ادغام انرژی‌های تجدیدپذیر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(مانند تولید هیدروژن از گاز طبیعی) و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اقتصاد چرخشی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در صنعت نفت و گاز را پوشش می‌دهد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۹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30"/>
          <w:szCs w:val="30"/>
        </w:rPr>
      </w:pPr>
      <w:r w:rsidRPr="009F302E">
        <w:rPr>
          <w:rFonts w:ascii="Arial" w:eastAsia="Times New Roman" w:hAnsi="Arial" w:cs="Arial"/>
          <w:color w:val="303030"/>
          <w:sz w:val="30"/>
          <w:szCs w:val="30"/>
          <w:rtl/>
          <w:lang w:bidi="fa-IR"/>
        </w:rPr>
        <w:t>۲</w:t>
      </w:r>
      <w:r w:rsidRPr="009F302E">
        <w:rPr>
          <w:rFonts w:ascii="Arial" w:eastAsia="Times New Roman" w:hAnsi="Arial" w:cs="Arial"/>
          <w:color w:val="303030"/>
          <w:sz w:val="30"/>
          <w:szCs w:val="30"/>
        </w:rPr>
        <w:t xml:space="preserve">. </w:t>
      </w:r>
      <w:r w:rsidRPr="009F302E">
        <w:rPr>
          <w:rFonts w:ascii="Arial" w:eastAsia="Times New Roman" w:hAnsi="Arial" w:cs="Arial"/>
          <w:color w:val="303030"/>
          <w:sz w:val="30"/>
          <w:szCs w:val="30"/>
          <w:rtl/>
        </w:rPr>
        <w:t>از رده خارج کردن و</w:t>
      </w:r>
      <w:r w:rsidRPr="009F302E">
        <w:rPr>
          <w:rFonts w:ascii="Arial" w:eastAsia="Times New Roman" w:hAnsi="Arial" w:cs="Arial"/>
          <w:color w:val="303030"/>
          <w:sz w:val="30"/>
          <w:szCs w:val="30"/>
        </w:rPr>
        <w:t xml:space="preserve"> CCUS (Decommissioning &amp; CCUS)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۲۱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با عنوان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«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از رده خارج کردن و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CCUS»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(Decommissioning &amp; CCUS)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به فناوری‌های جذب کربن و مدیریت دارایی‌های پایان عمر اختصاص دارد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۱۰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۱۳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۱۵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موضوعات کلیدی مرتبط با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CCUS:</w:t>
      </w:r>
    </w:p>
    <w:p w:rsidR="009F302E" w:rsidRPr="009F302E" w:rsidRDefault="009F302E" w:rsidP="009F302E">
      <w:pPr>
        <w:numPr>
          <w:ilvl w:val="0"/>
          <w:numId w:val="11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این جلد به طور خاص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فناوری‌های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CCUS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را پوشش می‌دهد که شامل سه بخش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جذب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(Capture)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، ذخیره‌سازی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(Storage)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و استفاده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(Utilization)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از کربن است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۱۰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numPr>
          <w:ilvl w:val="0"/>
          <w:numId w:val="11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lastRenderedPageBreak/>
        <w:t xml:space="preserve">همچنین این 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مدیریت دارایی در پایان عمر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(مانند عملیات «پلاگین و رهاسازی» چاه‌ها) و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اقتصاد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مربوط به از رده خارج کردن را بررسی می‌کند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۱۰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numPr>
          <w:ilvl w:val="0"/>
          <w:numId w:val="11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۲۱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مستقیماً به جلد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۱۹ (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پایداری) ارجاع داده شده است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۱۰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30"/>
          <w:szCs w:val="30"/>
        </w:rPr>
      </w:pPr>
      <w:r w:rsidRPr="009F302E">
        <w:rPr>
          <w:rFonts w:ascii="Arial" w:eastAsia="Times New Roman" w:hAnsi="Arial" w:cs="Arial"/>
          <w:color w:val="303030"/>
          <w:sz w:val="30"/>
          <w:szCs w:val="30"/>
          <w:rtl/>
        </w:rPr>
        <w:t>ارجاعات متقابل در جلدهای دیگر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علاوه بر این،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۶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 و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۷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با عنوان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«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مهندسی مخزن و شبیه‌سازی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»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(Reservoir Engineering &amp; Simulation)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نیز به‌طور فنی با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CCUS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مرتبط است، زیرا در این مجلدات بحث‌هایی در مورد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بازیابی پیشرفته نفت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(EOR)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از جمله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تزریق دی‌اکسید کربن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، مطرح می‌شود که می‌تواند به‌عنوان یک روش ذخیره‌سازی کربن نیز عمل کند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۶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shd w:val="clear" w:color="auto" w:fill="FAF9F9"/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03030"/>
          <w:sz w:val="27"/>
          <w:szCs w:val="27"/>
        </w:rPr>
      </w:pPr>
      <w:r w:rsidRPr="009F302E">
        <w:rPr>
          <w:rFonts w:ascii="Times New Roman" w:eastAsia="Times New Roman" w:hAnsi="Times New Roman" w:cs="Times New Roman"/>
          <w:color w:val="303030"/>
          <w:sz w:val="27"/>
          <w:szCs w:val="27"/>
        </w:rPr>
        <w:t>How is the vast petroleum industry scope organized across these twenty-five volumes?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مجموعه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۲۵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جلدی «مجموعه اصلی»، با عنوان کلی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"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کنار هم قرار دادن همه چیز: راهنمای جامع صنعت نفت و انرژی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"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به گونه‌ای سازماندهی شده است که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جنبه‌های فنی، اقتصادی، عملیاتی و زیست‌محیطی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صنعت جهانی نفت و گاز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(O&amp;G)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را یکپارچه کند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 xml:space="preserve">۴].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این مجموعه بر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اتصالات میان‌رشته‌ای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در صنعت تأکید دارد، از جمله اینکه چگونه اکتشافات بالادستی به لجستیک میان‌دستی و پایداری متصل می‌شوند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۴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سازماندهی گسترده صنعت نفت در این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۲۵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جلد را می‌توان در پنج حوزه اصلی خلاصه کرد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: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30"/>
          <w:szCs w:val="30"/>
        </w:rPr>
      </w:pPr>
      <w:r w:rsidRPr="009F302E">
        <w:rPr>
          <w:rFonts w:ascii="Arial" w:eastAsia="Times New Roman" w:hAnsi="Arial" w:cs="Arial"/>
          <w:color w:val="303030"/>
          <w:sz w:val="30"/>
          <w:szCs w:val="30"/>
          <w:rtl/>
          <w:lang w:bidi="fa-IR"/>
        </w:rPr>
        <w:t>۱</w:t>
      </w:r>
      <w:r w:rsidRPr="009F302E">
        <w:rPr>
          <w:rFonts w:ascii="Arial" w:eastAsia="Times New Roman" w:hAnsi="Arial" w:cs="Arial"/>
          <w:color w:val="303030"/>
          <w:sz w:val="30"/>
          <w:szCs w:val="30"/>
        </w:rPr>
        <w:t xml:space="preserve">. </w:t>
      </w:r>
      <w:r w:rsidRPr="009F302E">
        <w:rPr>
          <w:rFonts w:ascii="Arial" w:eastAsia="Times New Roman" w:hAnsi="Arial" w:cs="Arial"/>
          <w:color w:val="303030"/>
          <w:sz w:val="30"/>
          <w:szCs w:val="30"/>
          <w:rtl/>
        </w:rPr>
        <w:t>مبانی و عملیات بالادستی</w:t>
      </w:r>
      <w:r w:rsidRPr="009F302E">
        <w:rPr>
          <w:rFonts w:ascii="Arial" w:eastAsia="Times New Roman" w:hAnsi="Arial" w:cs="Arial"/>
          <w:color w:val="303030"/>
          <w:sz w:val="30"/>
          <w:szCs w:val="30"/>
        </w:rPr>
        <w:t xml:space="preserve"> (E&amp;P: Exploration &amp; Production)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این بخش هسته فنی و علمی صنعت نفت را از زمان کشف تا استخراج پوشش می‌دهد و از مبانی شروع می‌کند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۵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]:</w:t>
      </w:r>
    </w:p>
    <w:p w:rsidR="009F302E" w:rsidRPr="009F302E" w:rsidRDefault="009F302E" w:rsidP="009F302E">
      <w:pPr>
        <w:numPr>
          <w:ilvl w:val="0"/>
          <w:numId w:val="12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 xml:space="preserve">۱: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مبانی و تاریخچه نفت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(Petroleum Fundamentals &amp; History):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پایه‌های علم نفت، منشأ زمین‌شناختی و تکامل تاریخی صنعت را پوشش می‌دهد، از جمله ترکیب شیمیایی هیدروکربن‌ها و نقاط عطف اصلی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۵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numPr>
          <w:ilvl w:val="0"/>
          <w:numId w:val="12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۲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 و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 xml:space="preserve">۳: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علوم زمین اکتشافی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(Exploration Geoscience):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بررسی عمیق در علم یافتن ذخایر، شامل نقشه‌برداری لرزه‌نگاری، لاگ‌گیری چاه، ارزیابی حوضه و تحلیل ریسک (احتمال موفقیت زمین‌شناختی)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۵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numPr>
          <w:ilvl w:val="0"/>
          <w:numId w:val="12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۴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 و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 xml:space="preserve">۵: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مهندسی حفاری و چاه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(Drilling &amp; Well Engineering):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بر مهندسی چاه‌ها، از طراحی تا تکمیل، از جمله انواع دکل، سیالات حفاری، حفاری جهت‌دار و کنترل چاه (مانند جلوگیری از فوران) تمرکز دارد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۵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numPr>
          <w:ilvl w:val="0"/>
          <w:numId w:val="12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۶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 و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 xml:space="preserve">۷: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مهندسی مخزن و شبیه‌سازی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(Reservoir Engineering &amp; Simulation):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نحوه مدل‌سازی و مدیریت مخازن برای بازیابی بهینه، شامل توصیف مخزن، مکانیسم‌های محرکه (مانند تزریق دی‌اکسید کربن برای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EOR)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، و شبیه‌سازی نرم‌افزاری را بررسی می‌کند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۶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numPr>
          <w:ilvl w:val="0"/>
          <w:numId w:val="12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 xml:space="preserve">۸: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فناوری تولید و فرازآوری مصنوعی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(Production Technology &amp; Artificial Lift):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جزئیات فناوری‌های سطحی و زیرسطحی برای استخراج و بهینه‌سازی تولید، از جمله روش‌های فرازآوری مصنوعی (مانند پمپ‌های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ESP)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و مدیریت میادین بالغ را شرح می‌دهد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۶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30"/>
          <w:szCs w:val="30"/>
        </w:rPr>
      </w:pPr>
      <w:r w:rsidRPr="009F302E">
        <w:rPr>
          <w:rFonts w:ascii="Arial" w:eastAsia="Times New Roman" w:hAnsi="Arial" w:cs="Arial"/>
          <w:color w:val="303030"/>
          <w:sz w:val="30"/>
          <w:szCs w:val="30"/>
          <w:rtl/>
          <w:lang w:bidi="fa-IR"/>
        </w:rPr>
        <w:lastRenderedPageBreak/>
        <w:t>۲</w:t>
      </w:r>
      <w:r w:rsidRPr="009F302E">
        <w:rPr>
          <w:rFonts w:ascii="Arial" w:eastAsia="Times New Roman" w:hAnsi="Arial" w:cs="Arial"/>
          <w:color w:val="303030"/>
          <w:sz w:val="30"/>
          <w:szCs w:val="30"/>
        </w:rPr>
        <w:t xml:space="preserve">. </w:t>
      </w:r>
      <w:r w:rsidRPr="009F302E">
        <w:rPr>
          <w:rFonts w:ascii="Arial" w:eastAsia="Times New Roman" w:hAnsi="Arial" w:cs="Arial"/>
          <w:color w:val="303030"/>
          <w:sz w:val="30"/>
          <w:szCs w:val="30"/>
          <w:rtl/>
        </w:rPr>
        <w:t>محیط‌ها و عملیات تخصصی (میان‌دستی و پایین‌دستی)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این مجلدات بر عملیات‌های پیچیده یا انتقال نفت از میدان تا مصرف‌کننده نهایی تمرکز دارند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]:</w:t>
      </w:r>
    </w:p>
    <w:p w:rsidR="009F302E" w:rsidRPr="009F302E" w:rsidRDefault="009F302E" w:rsidP="009F302E">
      <w:pPr>
        <w:numPr>
          <w:ilvl w:val="0"/>
          <w:numId w:val="13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 xml:space="preserve">۹: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سیستم‌های فراساحلی و زیردریا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(Offshore &amp; Subsea Systems):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مهندسی محیط‌های آب‌های عمیق، شامل سکوهای ثابت و شناور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(FPSOs)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و سیستم‌های زیردریایی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۶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numPr>
          <w:ilvl w:val="0"/>
          <w:numId w:val="13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 xml:space="preserve">۱۰: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منابع نامتعارف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(</w:t>
      </w:r>
      <w:proofErr w:type="spellStart"/>
      <w:r w:rsidRPr="009F302E">
        <w:rPr>
          <w:rFonts w:ascii="Arial" w:eastAsia="Times New Roman" w:hAnsi="Arial" w:cs="Arial"/>
          <w:color w:val="303030"/>
          <w:sz w:val="26"/>
          <w:szCs w:val="26"/>
        </w:rPr>
        <w:t>Unconventionals</w:t>
      </w:r>
      <w:proofErr w:type="spellEnd"/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):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بر منابع غیرسنتی مانند نفت شیل و گاز محکم، شامل تکنیک‌های حفاری افقی و شکست هیدرولیکی، و ملاحظات زیست‌محیطی متمرکز است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۷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numPr>
          <w:ilvl w:val="0"/>
          <w:numId w:val="13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 xml:space="preserve">۱۱: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عملیات میان‌دستی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(Midstream Operations):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حمل و نقل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خطوط لوله، تانکرها، پایانه‌های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LNG)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، ذخیره‌سازی و فرآوری اولیه هیدروکربن‌ها را بررسی می‌کند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۷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numPr>
          <w:ilvl w:val="0"/>
          <w:numId w:val="13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 xml:space="preserve">۱۲: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پالایش و پتروشیمی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(Refining &amp; Petrochemicals):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جزئیات تبدیل پایین‌دستی نفت خام به محصولات قابل استفاده از طریق فرآیندهایی مانند تقطیر، کراکینگ و اصلاح، و استانداردهای محصول را شرح می‌دهد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۷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30"/>
          <w:szCs w:val="30"/>
        </w:rPr>
      </w:pPr>
      <w:r w:rsidRPr="009F302E">
        <w:rPr>
          <w:rFonts w:ascii="Arial" w:eastAsia="Times New Roman" w:hAnsi="Arial" w:cs="Arial"/>
          <w:color w:val="303030"/>
          <w:sz w:val="30"/>
          <w:szCs w:val="30"/>
          <w:rtl/>
          <w:lang w:bidi="fa-IR"/>
        </w:rPr>
        <w:t>۳</w:t>
      </w:r>
      <w:r w:rsidRPr="009F302E">
        <w:rPr>
          <w:rFonts w:ascii="Arial" w:eastAsia="Times New Roman" w:hAnsi="Arial" w:cs="Arial"/>
          <w:color w:val="303030"/>
          <w:sz w:val="30"/>
          <w:szCs w:val="30"/>
        </w:rPr>
        <w:t xml:space="preserve">. </w:t>
      </w:r>
      <w:r w:rsidRPr="009F302E">
        <w:rPr>
          <w:rFonts w:ascii="Arial" w:eastAsia="Times New Roman" w:hAnsi="Arial" w:cs="Arial"/>
          <w:color w:val="303030"/>
          <w:sz w:val="30"/>
          <w:szCs w:val="30"/>
          <w:rtl/>
        </w:rPr>
        <w:t>مدیریت تجاری، مالی و حقوقی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این بخش بر جنبه‌های اقتصادی، قانونی و مدیریتی ضروری برای اجرای پروژه‌های نفت و گاز تأکید دارد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]:</w:t>
      </w:r>
    </w:p>
    <w:p w:rsidR="009F302E" w:rsidRPr="009F302E" w:rsidRDefault="009F302E" w:rsidP="009F302E">
      <w:pPr>
        <w:numPr>
          <w:ilvl w:val="0"/>
          <w:numId w:val="14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 xml:space="preserve">۱۳: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مدیریت تجارت و ریسک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(Trading &amp; Risk Management):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جنبه مالی تجارت کالا، پوشش ریسک، بازارهای قیمت‌گذاری (مانند برنت و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WTI)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و مدل‌های ریسک را پوشش می‌دهد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۸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numPr>
          <w:ilvl w:val="0"/>
          <w:numId w:val="14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 xml:space="preserve">۱۴: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اقتصاد و سیستم‌های مالی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(Economics &amp; Fiscal Systems):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مدل‌های اقتصادی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(NPV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IRR)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و رژیم‌های مالی دولتی (مانند قراردادهای مشارکت در تولید، حق امتیاز و مالیات) را تحلیل می‌کند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۸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numPr>
          <w:ilvl w:val="0"/>
          <w:numId w:val="14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 xml:space="preserve">۱۵: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حسابداری و تامین مالی پروژه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(Accounting &amp; Project Finance):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بر گزارشگری مالی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(IFRS/GAAP)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و تامین مالی پروژه‌های نفت و گاز، از جمله سرمایه‌گذاری مشترک تمرکز دارد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۸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numPr>
          <w:ilvl w:val="0"/>
          <w:numId w:val="14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 xml:space="preserve">۱۶: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قراردادها و حقوق بین‌الملل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(Contracts &amp; International Law):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چارچوب‌های قانونی برای توافق‌نامه‌های نفت و گاز، داوری بین‌المللی و قوانین تحریم و تجارت را بررسی می‌کند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۹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numPr>
          <w:ilvl w:val="0"/>
          <w:numId w:val="14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 xml:space="preserve">۱۷: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مدیریت پروژه و زنجیره تأمین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(Project Management &amp; Supply-Chain):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برنامه‌ریزی، اجرا و لجستیک برای پروژه‌های بزرگ، شامل اصول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PMBOK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، قراردادهای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EPC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و ثبت ریسک را پوشش می‌دهد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۹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30"/>
          <w:szCs w:val="30"/>
        </w:rPr>
      </w:pPr>
      <w:r w:rsidRPr="009F302E">
        <w:rPr>
          <w:rFonts w:ascii="Arial" w:eastAsia="Times New Roman" w:hAnsi="Arial" w:cs="Arial"/>
          <w:color w:val="303030"/>
          <w:sz w:val="30"/>
          <w:szCs w:val="30"/>
          <w:rtl/>
          <w:lang w:bidi="fa-IR"/>
        </w:rPr>
        <w:t>۴</w:t>
      </w:r>
      <w:r w:rsidRPr="009F302E">
        <w:rPr>
          <w:rFonts w:ascii="Arial" w:eastAsia="Times New Roman" w:hAnsi="Arial" w:cs="Arial"/>
          <w:color w:val="303030"/>
          <w:sz w:val="30"/>
          <w:szCs w:val="30"/>
        </w:rPr>
        <w:t xml:space="preserve">. </w:t>
      </w:r>
      <w:r w:rsidRPr="009F302E">
        <w:rPr>
          <w:rFonts w:ascii="Arial" w:eastAsia="Times New Roman" w:hAnsi="Arial" w:cs="Arial"/>
          <w:color w:val="303030"/>
          <w:sz w:val="30"/>
          <w:szCs w:val="30"/>
          <w:rtl/>
        </w:rPr>
        <w:t>ایمنی، دیجیتال و آینده صنعت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این مجلدات به موضوعات ایمنی، فناوری‌های جدید و چالش‌های بلندمدت و گذار انرژی می‌پردازند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]:</w:t>
      </w:r>
    </w:p>
    <w:p w:rsidR="009F302E" w:rsidRPr="009F302E" w:rsidRDefault="009F302E" w:rsidP="009F302E">
      <w:pPr>
        <w:numPr>
          <w:ilvl w:val="0"/>
          <w:numId w:val="15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 xml:space="preserve">۱۸: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ایمنی، بهداشت، محیط زیست و فرآیند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(HSE &amp; Process Safety):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بر سلامت، ایمنی، محیط زیست و مدیریت ایمنی فرآیند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(PSM)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، از جمله ارزیابی‌های تأثیر زیست‌محیطی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(EIAs)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تأکید دارد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۹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numPr>
          <w:ilvl w:val="0"/>
          <w:numId w:val="15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lastRenderedPageBreak/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 xml:space="preserve">۱۹: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پایداری و انتقال انرژی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(Sustainability &amp; Energy Transition):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مستقیماً به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عوامل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ESG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کاهش ردپای کربن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و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استراتژی‌های خالص صفر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و گذار به سمت انرژی‌های تجدیدپذیر می‌پردازد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۹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numPr>
          <w:ilvl w:val="0"/>
          <w:numId w:val="15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 xml:space="preserve">۲۰: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دیجیتال و داده‌ها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(Digital &amp; Data):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تحول دیجیتال در صنعت، شامل داده‌های بزرگ، هوش مصنوعی/یادگیری ماشین، اینترنت اشیا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</w:t>
      </w:r>
      <w:proofErr w:type="spellStart"/>
      <w:r w:rsidRPr="009F302E">
        <w:rPr>
          <w:rFonts w:ascii="Arial" w:eastAsia="Times New Roman" w:hAnsi="Arial" w:cs="Arial"/>
          <w:color w:val="303030"/>
          <w:sz w:val="26"/>
          <w:szCs w:val="26"/>
        </w:rPr>
        <w:t>IoT</w:t>
      </w:r>
      <w:proofErr w:type="spellEnd"/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)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و دوقلوهای دیجیتال را بررسی می‌کند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۱۰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numPr>
          <w:ilvl w:val="0"/>
          <w:numId w:val="15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 xml:space="preserve">۲۱: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از رده خارج کردن و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CCUS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(Decommissioning &amp; CCUS):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مدیریت دارایی در پایان عمر (مانند پلاگین و رهاسازی چاه‌ها) و فناوری‌های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جذب، ذخیره‌سازی و استفاده از کربن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(CCUS)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را پوشش می‌دهد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۱۰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30"/>
          <w:szCs w:val="30"/>
        </w:rPr>
      </w:pPr>
      <w:r w:rsidRPr="009F302E">
        <w:rPr>
          <w:rFonts w:ascii="Arial" w:eastAsia="Times New Roman" w:hAnsi="Arial" w:cs="Arial"/>
          <w:color w:val="303030"/>
          <w:sz w:val="30"/>
          <w:szCs w:val="30"/>
          <w:rtl/>
          <w:lang w:bidi="fa-IR"/>
        </w:rPr>
        <w:t>۵</w:t>
      </w:r>
      <w:r w:rsidRPr="009F302E">
        <w:rPr>
          <w:rFonts w:ascii="Arial" w:eastAsia="Times New Roman" w:hAnsi="Arial" w:cs="Arial"/>
          <w:color w:val="303030"/>
          <w:sz w:val="30"/>
          <w:szCs w:val="30"/>
        </w:rPr>
        <w:t xml:space="preserve">. </w:t>
      </w:r>
      <w:r w:rsidRPr="009F302E">
        <w:rPr>
          <w:rFonts w:ascii="Arial" w:eastAsia="Times New Roman" w:hAnsi="Arial" w:cs="Arial"/>
          <w:color w:val="303030"/>
          <w:sz w:val="30"/>
          <w:szCs w:val="30"/>
          <w:rtl/>
        </w:rPr>
        <w:t>کاربرد و مطالعات موردی منطقه‌ای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هفت جلد پایانی به جمع‌بندی و کاربرد جهانی اختصاص دارند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۲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۳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۱۰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]:</w:t>
      </w:r>
    </w:p>
    <w:p w:rsidR="009F302E" w:rsidRPr="009F302E" w:rsidRDefault="009F302E" w:rsidP="009F302E">
      <w:pPr>
        <w:numPr>
          <w:ilvl w:val="0"/>
          <w:numId w:val="16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 xml:space="preserve">۱۹-۲۵: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مطالعات موردی منطقه‌ای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(Regional Case Studies):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این مجلدات تجزیه و تحلیل‌های منطقه‌ای دقیقی را ارائه می‌دهند که شامل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قاره آمریکا، اروپا، خاورمیانه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(ME)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، آفریقا، آسیا و اقیانوسیه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(Asia-Pac)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، قطب شمال و مرزها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است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۲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۱۰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۱۳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 xml:space="preserve">۱۵].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این مطالعات موردی،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دروس جهانی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را از عملیات‌های گوناگون جمع‌آوری می‌کنند و شامل بررسی‌های زمین‌شناختی و اقتصادی و چالش‌های خاص منطقه‌ای هستند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۲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۱۰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به طور خلاصه، این مجموعه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۲۵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جلدی از یک رویکرد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خط لوله محور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(از زمین‌شناسی تا پالایش) پیروی می‌کند و سپس با لایه‌های مدیریت، امور مالی، و محیط زیست، پیش از پایان یافتن با تجزیه و تحلیل‌های جهانی و منطقه‌ای (مطالعات موردی)، تکمیل می‌شود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۴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shd w:val="clear" w:color="auto" w:fill="FAF9F9"/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03030"/>
          <w:sz w:val="27"/>
          <w:szCs w:val="27"/>
        </w:rPr>
      </w:pPr>
      <w:r w:rsidRPr="009F302E">
        <w:rPr>
          <w:rFonts w:ascii="Times New Roman" w:eastAsia="Times New Roman" w:hAnsi="Times New Roman" w:cs="Times New Roman"/>
          <w:color w:val="303030"/>
          <w:sz w:val="27"/>
          <w:szCs w:val="27"/>
        </w:rPr>
        <w:t xml:space="preserve">Discuss what these sources say about </w:t>
      </w:r>
      <w:r w:rsidRPr="009F302E">
        <w:rPr>
          <w:rFonts w:ascii="Times New Roman" w:eastAsia="Times New Roman" w:hAnsi="Times New Roman" w:cs="Times New Roman"/>
          <w:color w:val="303030"/>
          <w:sz w:val="27"/>
          <w:szCs w:val="27"/>
          <w:rtl/>
        </w:rPr>
        <w:t>ذخایر جهانی و طبقه‌بندی منابع</w:t>
      </w:r>
      <w:r w:rsidRPr="009F302E">
        <w:rPr>
          <w:rFonts w:ascii="Times New Roman" w:eastAsia="Times New Roman" w:hAnsi="Times New Roman" w:cs="Times New Roman"/>
          <w:color w:val="303030"/>
          <w:sz w:val="27"/>
          <w:szCs w:val="27"/>
        </w:rPr>
        <w:t xml:space="preserve">, in the larger context of </w:t>
      </w:r>
      <w:r w:rsidRPr="009F302E">
        <w:rPr>
          <w:rFonts w:ascii="Times New Roman" w:eastAsia="Times New Roman" w:hAnsi="Times New Roman" w:cs="Times New Roman"/>
          <w:color w:val="303030"/>
          <w:sz w:val="27"/>
          <w:szCs w:val="27"/>
          <w:rtl/>
        </w:rPr>
        <w:t xml:space="preserve">مبانی و تاریخچه (جلد </w:t>
      </w:r>
      <w:r w:rsidRPr="009F302E">
        <w:rPr>
          <w:rFonts w:ascii="Times New Roman" w:eastAsia="Times New Roman" w:hAnsi="Times New Roman" w:cs="Times New Roman"/>
          <w:color w:val="303030"/>
          <w:sz w:val="27"/>
          <w:szCs w:val="27"/>
          <w:rtl/>
          <w:lang w:bidi="fa-IR"/>
        </w:rPr>
        <w:t>۱)</w:t>
      </w:r>
      <w:r w:rsidRPr="009F302E">
        <w:rPr>
          <w:rFonts w:ascii="Times New Roman" w:eastAsia="Times New Roman" w:hAnsi="Times New Roman" w:cs="Times New Roman"/>
          <w:color w:val="303030"/>
          <w:sz w:val="27"/>
          <w:szCs w:val="27"/>
        </w:rPr>
        <w:t>.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بر اساس منابع ارائه شده، موضوع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«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ذخایر جهانی و طبقه‌بندی منابع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»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به‌طور خاص در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 xml:space="preserve">۱: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مبانی و تاریخچه نفت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(Petroleum Fundamentals &amp; History)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گنجانده شده است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۱۲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۱۳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در زمینه گسترده‌تر مجموعه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۲۵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جلدی «مجموعه اصلی»، جلد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به عنوان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جلد بنیادی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در نظر گرفته شده است که زمینه را برای باقی مباحث فنی و اقتصادی سری فراهم می‌کند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۴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۵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30"/>
          <w:szCs w:val="30"/>
        </w:rPr>
      </w:pPr>
      <w:r w:rsidRPr="009F302E">
        <w:rPr>
          <w:rFonts w:ascii="Arial" w:eastAsia="Times New Roman" w:hAnsi="Arial" w:cs="Arial"/>
          <w:color w:val="303030"/>
          <w:sz w:val="30"/>
          <w:szCs w:val="30"/>
          <w:rtl/>
          <w:lang w:bidi="fa-IR"/>
        </w:rPr>
        <w:t>۱</w:t>
      </w:r>
      <w:r w:rsidRPr="009F302E">
        <w:rPr>
          <w:rFonts w:ascii="Arial" w:eastAsia="Times New Roman" w:hAnsi="Arial" w:cs="Arial"/>
          <w:color w:val="303030"/>
          <w:sz w:val="30"/>
          <w:szCs w:val="30"/>
        </w:rPr>
        <w:t xml:space="preserve">. </w:t>
      </w:r>
      <w:r w:rsidRPr="009F302E">
        <w:rPr>
          <w:rFonts w:ascii="Arial" w:eastAsia="Times New Roman" w:hAnsi="Arial" w:cs="Arial"/>
          <w:color w:val="303030"/>
          <w:sz w:val="30"/>
          <w:szCs w:val="30"/>
          <w:rtl/>
        </w:rPr>
        <w:t xml:space="preserve">نقش جلد </w:t>
      </w:r>
      <w:r w:rsidRPr="009F302E">
        <w:rPr>
          <w:rFonts w:ascii="Arial" w:eastAsia="Times New Roman" w:hAnsi="Arial" w:cs="Arial"/>
          <w:color w:val="303030"/>
          <w:sz w:val="30"/>
          <w:szCs w:val="30"/>
          <w:rtl/>
          <w:lang w:bidi="fa-IR"/>
        </w:rPr>
        <w:t>۱</w:t>
      </w:r>
      <w:r w:rsidRPr="009F302E">
        <w:rPr>
          <w:rFonts w:ascii="Arial" w:eastAsia="Times New Roman" w:hAnsi="Arial" w:cs="Arial"/>
          <w:color w:val="303030"/>
          <w:sz w:val="30"/>
          <w:szCs w:val="30"/>
          <w:rtl/>
        </w:rPr>
        <w:t xml:space="preserve"> در طبقه‌بندی منابع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 xml:space="preserve">۱: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مبانی و تاریخچه نفت، خلاصه‌ای از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مبانی علم نفت، منشأ زمین‌شناختی و تکامل تاریخی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آن را پوشش می‌دهد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 xml:space="preserve">۵].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این جلد به منظور پایه‌گذاری دانش خواننده در مورد صنعت نفت، جنبه‌های زیر را شامل می‌شود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:</w:t>
      </w:r>
    </w:p>
    <w:p w:rsidR="009F302E" w:rsidRPr="009F302E" w:rsidRDefault="009F302E" w:rsidP="009F302E">
      <w:pPr>
        <w:numPr>
          <w:ilvl w:val="0"/>
          <w:numId w:val="17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ذخایر جهانی و طبقه‌بندی منابع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(Global Reserves and Resource Classification):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یکی از موضوعات کلیدی این جلد، بررسی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ذخایر جهانی و طبقه‌بندی منابع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است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۵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numPr>
          <w:ilvl w:val="0"/>
          <w:numId w:val="17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جزئیات طبقه‌بندی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: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منابع به صراحت ذکر می‌کنند که این طبقه‌بندی شامل تعریف و تمایز بین انواع مختلف ذخایر می‌شود، مانند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(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اثبات‌شده، محتمل، احتمالی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)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(proven, probable, contingent)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lastRenderedPageBreak/>
        <w:t>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۵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].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درک این طبقه‌بندی برای ارزیابی اقتصادی و برنامه‌ریزی تولید که در جلدهای بعدی (مانند مهندسی مخزن و شبیه‌سازی) پوشش داده می‌شوند، حیاتی است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۶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numPr>
          <w:ilvl w:val="0"/>
          <w:numId w:val="17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مبانی دیگر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: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این مبحث در کنار موضوعات بنیادین دیگری مانند ترکیب شیمیایی هیدروکربن‌ها، فرآیندهای زمین‌شناختی تشکیل (مانند سنگ‌های منبع، مهاجرت و تله‌ها)، نقاط عطف تاریخی (مانند چاه دریک در سال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۱۸۵۹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و بحران‌های نفتی دهه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۱۹۷۰)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، و اصطلاحات و واحدهای پایه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مانند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API gravity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و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proofErr w:type="spellStart"/>
      <w:r w:rsidRPr="009F302E">
        <w:rPr>
          <w:rFonts w:ascii="Arial" w:eastAsia="Times New Roman" w:hAnsi="Arial" w:cs="Arial"/>
          <w:color w:val="303030"/>
          <w:sz w:val="26"/>
          <w:szCs w:val="26"/>
        </w:rPr>
        <w:t>bbl</w:t>
      </w:r>
      <w:proofErr w:type="spellEnd"/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در مقابل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proofErr w:type="spellStart"/>
      <w:r w:rsidRPr="009F302E">
        <w:rPr>
          <w:rFonts w:ascii="Arial" w:eastAsia="Times New Roman" w:hAnsi="Arial" w:cs="Arial"/>
          <w:color w:val="303030"/>
          <w:sz w:val="26"/>
          <w:szCs w:val="26"/>
        </w:rPr>
        <w:t>boe</w:t>
      </w:r>
      <w:proofErr w:type="spellEnd"/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)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مورد بررسی قرار می‌گیرد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۵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30"/>
          <w:szCs w:val="30"/>
        </w:rPr>
      </w:pPr>
      <w:r w:rsidRPr="009F302E">
        <w:rPr>
          <w:rFonts w:ascii="Arial" w:eastAsia="Times New Roman" w:hAnsi="Arial" w:cs="Arial"/>
          <w:color w:val="303030"/>
          <w:sz w:val="30"/>
          <w:szCs w:val="30"/>
          <w:rtl/>
          <w:lang w:bidi="fa-IR"/>
        </w:rPr>
        <w:t>۲</w:t>
      </w:r>
      <w:r w:rsidRPr="009F302E">
        <w:rPr>
          <w:rFonts w:ascii="Arial" w:eastAsia="Times New Roman" w:hAnsi="Arial" w:cs="Arial"/>
          <w:color w:val="303030"/>
          <w:sz w:val="30"/>
          <w:szCs w:val="30"/>
        </w:rPr>
        <w:t xml:space="preserve">. </w:t>
      </w:r>
      <w:r w:rsidRPr="009F302E">
        <w:rPr>
          <w:rFonts w:ascii="Arial" w:eastAsia="Times New Roman" w:hAnsi="Arial" w:cs="Arial"/>
          <w:color w:val="303030"/>
          <w:sz w:val="30"/>
          <w:szCs w:val="30"/>
          <w:rtl/>
        </w:rPr>
        <w:t>ارتباط ذخایر با دیگر بخش‌های مجموعه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اگرچه ذخایر جهانی در جلد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معرفی می‌شوند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۵]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، این موضوع به چندین جلد دیگر از مجموعه نیز مرتبط است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:</w:t>
      </w:r>
    </w:p>
    <w:p w:rsidR="009F302E" w:rsidRPr="009F302E" w:rsidRDefault="009F302E" w:rsidP="009F302E">
      <w:pPr>
        <w:numPr>
          <w:ilvl w:val="0"/>
          <w:numId w:val="18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علوم زمین اکتشافی (جلد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۲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 و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۳)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: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طبقه‌بندی و برآورد ذخایر مستقیماً به فعالیت‌های اکتشافی (مانند ارزیابی ریسک زمین‌شناختی) مرتبط است که در جلدهای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۲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و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۳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به‌طور عمیق بررسی می‌شوند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۵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numPr>
          <w:ilvl w:val="0"/>
          <w:numId w:val="18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مهندسی مخزن و شبیه‌سازی (جلد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۶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 و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۷)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: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مباحث مربوط به برآورد ذخایر (مانند تحلیل منحنی کاهش و توازن مواد) به‌طور گسترده در مهندسی مخزن مورد بحث قرار می‌گیرند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۶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numPr>
          <w:ilvl w:val="0"/>
          <w:numId w:val="18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اقتصاد و سیستم‌های مالی (جلد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۱۴)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: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برآورد ذخایر و طبقه‌بندی آن‌ها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مانند ذخایر گزارش‌شده تحت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IFRS/GAAP)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یک عامل حیاتی در مدل‌های اقتصادی و مالی برای پروژه‌های نفت و گاز است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۸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به عبارت دیگر، جلد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پایه‌های درک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تعاریف و اهمیت ذخایر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را فراهم می‌کند، در حالی که جلدهای بعدی به تکنیک‌های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اندازه‌گیری، مدیریت و تأمین مالی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این ذخایر می‌پردازند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shd w:val="clear" w:color="auto" w:fill="FAF9F9"/>
        <w:bidi/>
        <w:spacing w:after="0" w:line="240" w:lineRule="atLeast"/>
        <w:jc w:val="center"/>
        <w:rPr>
          <w:rFonts w:ascii="Arial" w:eastAsia="Times New Roman" w:hAnsi="Arial" w:cs="Arial"/>
          <w:color w:val="5E5E5E"/>
          <w:spacing w:val="1"/>
          <w:sz w:val="18"/>
          <w:szCs w:val="18"/>
        </w:rPr>
      </w:pPr>
      <w:r w:rsidRPr="009F302E">
        <w:rPr>
          <w:rFonts w:ascii="Arial" w:eastAsia="Times New Roman" w:hAnsi="Arial" w:cs="Arial"/>
          <w:color w:val="5E5E5E"/>
          <w:spacing w:val="1"/>
          <w:sz w:val="18"/>
          <w:szCs w:val="18"/>
        </w:rPr>
        <w:t>Friday, October 9</w:t>
      </w:r>
    </w:p>
    <w:p w:rsidR="009F302E" w:rsidRPr="009F302E" w:rsidRDefault="009F302E" w:rsidP="009F302E">
      <w:pPr>
        <w:shd w:val="clear" w:color="auto" w:fill="FAF9F9"/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03030"/>
          <w:sz w:val="27"/>
          <w:szCs w:val="27"/>
        </w:rPr>
      </w:pPr>
      <w:r w:rsidRPr="009F302E">
        <w:rPr>
          <w:rFonts w:ascii="Times New Roman" w:eastAsia="Times New Roman" w:hAnsi="Times New Roman" w:cs="Times New Roman"/>
          <w:color w:val="303030"/>
          <w:sz w:val="27"/>
          <w:szCs w:val="27"/>
        </w:rPr>
        <w:t>Give the history of oil and gas in the word with list of academic references</w:t>
      </w:r>
    </w:p>
    <w:p w:rsidR="009F302E" w:rsidRPr="009F302E" w:rsidRDefault="009F302E" w:rsidP="009F302E">
      <w:pPr>
        <w:shd w:val="clear" w:color="auto" w:fill="FAF9F9"/>
        <w:bidi/>
        <w:spacing w:after="0" w:line="240" w:lineRule="auto"/>
        <w:textAlignment w:val="center"/>
        <w:rPr>
          <w:rFonts w:ascii="Times New Roman" w:eastAsia="Times New Roman" w:hAnsi="Times New Roman" w:cs="Times New Roman"/>
          <w:color w:val="303030"/>
          <w:sz w:val="27"/>
          <w:szCs w:val="27"/>
        </w:rPr>
      </w:pPr>
      <w:r w:rsidRPr="009F302E">
        <w:rPr>
          <w:rFonts w:ascii="Times New Roman" w:eastAsia="Times New Roman" w:hAnsi="Times New Roman" w:cs="Times New Roman"/>
          <w:color w:val="5E5E5E"/>
          <w:sz w:val="27"/>
          <w:szCs w:val="27"/>
        </w:rPr>
        <w:t>Thoughts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The history of the global oil and gas industry—as outlined in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Volume 1: Petroleum Fundamentals &amp; History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—spans several key technological, economic, and geopolitical milestones: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30"/>
          <w:szCs w:val="30"/>
        </w:rPr>
      </w:pPr>
      <w:r w:rsidRPr="009F302E">
        <w:rPr>
          <w:rFonts w:ascii="Arial" w:eastAsia="Times New Roman" w:hAnsi="Arial" w:cs="Arial"/>
          <w:color w:val="303030"/>
          <w:sz w:val="30"/>
          <w:szCs w:val="30"/>
        </w:rPr>
        <w:t>Key Historical Milestones</w:t>
      </w:r>
    </w:p>
    <w:p w:rsidR="009F302E" w:rsidRPr="009F302E" w:rsidRDefault="009F302E" w:rsidP="009F302E">
      <w:pPr>
        <w:numPr>
          <w:ilvl w:val="0"/>
          <w:numId w:val="19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Ancient Beginnings: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Early historical uses of naturally occurring hydrocarbons, such as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Babylonian asphalt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and natural bitumen seeps for construction, waterproofing, and lighting.</w:t>
      </w:r>
    </w:p>
    <w:p w:rsidR="009F302E" w:rsidRPr="009F302E" w:rsidRDefault="009F302E" w:rsidP="009F302E">
      <w:pPr>
        <w:numPr>
          <w:ilvl w:val="0"/>
          <w:numId w:val="19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The Modern Oil Industry Birth (1859):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The drilling of the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Drake Well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in Titusville, Pennsylvania, in 1859, which marked the beginning of commercial petroleum extraction and industrial-scale drilling operations.</w:t>
      </w:r>
    </w:p>
    <w:p w:rsidR="009F302E" w:rsidRPr="009F302E" w:rsidRDefault="009F302E" w:rsidP="009F302E">
      <w:pPr>
        <w:numPr>
          <w:ilvl w:val="0"/>
          <w:numId w:val="19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lastRenderedPageBreak/>
        <w:t>Geopolitical Shifts and Crises: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The mid-to-late 20th-century market transformations, including the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1970s oil crises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, which reshaped global energy economics, national oil company (NOC) strategies, and energy policies worldwide.</w:t>
      </w:r>
    </w:p>
    <w:p w:rsidR="009F302E" w:rsidRPr="009F302E" w:rsidRDefault="009F302E" w:rsidP="009F302E">
      <w:pPr>
        <w:numPr>
          <w:ilvl w:val="0"/>
          <w:numId w:val="19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Modern Unconventional &amp; Shale Revolutions: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Recent technological advances combining horizontal drilling and hydraulic fracturing that unlocked vast shale oil and tight gas reserves.</w:t>
      </w:r>
    </w:p>
    <w:p w:rsidR="009F302E" w:rsidRPr="009F302E" w:rsidRDefault="009F302E" w:rsidP="009F302E">
      <w:pPr>
        <w:shd w:val="clear" w:color="auto" w:fill="FAF9F9"/>
        <w:bidi/>
        <w:spacing w:after="0" w:line="240" w:lineRule="auto"/>
        <w:rPr>
          <w:rFonts w:ascii="Times New Roman" w:eastAsia="Times New Roman" w:hAnsi="Times New Roman" w:cs="Times New Roman"/>
          <w:color w:val="303030"/>
          <w:sz w:val="27"/>
          <w:szCs w:val="27"/>
        </w:rPr>
      </w:pPr>
      <w:r w:rsidRPr="009F302E">
        <w:rPr>
          <w:rFonts w:ascii="Times New Roman" w:eastAsia="Times New Roman" w:hAnsi="Times New Roman" w:cs="Times New Roman"/>
          <w:color w:val="303030"/>
          <w:sz w:val="27"/>
          <w:szCs w:val="27"/>
        </w:rPr>
        <w:pict>
          <v:rect id="_x0000_i1025" style="width:0;height:1.5pt" o:hralign="center" o:hrstd="t" o:hr="t" fillcolor="#a0a0a0" stroked="f"/>
        </w:pic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30"/>
          <w:szCs w:val="30"/>
        </w:rPr>
      </w:pPr>
      <w:r w:rsidRPr="009F302E">
        <w:rPr>
          <w:rFonts w:ascii="Arial" w:eastAsia="Times New Roman" w:hAnsi="Arial" w:cs="Arial"/>
          <w:color w:val="303030"/>
          <w:sz w:val="30"/>
          <w:szCs w:val="30"/>
        </w:rPr>
        <w:t>Academic and Industry References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</w:rPr>
        <w:t>The sources recommend several foundational texts, organizational standards, and reports across key industry domains: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30"/>
          <w:szCs w:val="30"/>
        </w:rPr>
      </w:pPr>
      <w:r w:rsidRPr="009F302E">
        <w:rPr>
          <w:rFonts w:ascii="Arial" w:eastAsia="Times New Roman" w:hAnsi="Arial" w:cs="Arial"/>
          <w:color w:val="303030"/>
          <w:sz w:val="30"/>
          <w:szCs w:val="30"/>
        </w:rPr>
        <w:t>1. General History, Petroleum Systems &amp; Fundamentals</w:t>
      </w:r>
    </w:p>
    <w:p w:rsidR="009F302E" w:rsidRPr="009F302E" w:rsidRDefault="009F302E" w:rsidP="009F302E">
      <w:pPr>
        <w:numPr>
          <w:ilvl w:val="0"/>
          <w:numId w:val="20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proofErr w:type="spellStart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Yergin</w:t>
      </w:r>
      <w:proofErr w:type="spellEnd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, D.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The Prize: The Epic Quest for Oil, Money, &amp; Power.</w:t>
      </w:r>
    </w:p>
    <w:p w:rsidR="009F302E" w:rsidRPr="009F302E" w:rsidRDefault="009F302E" w:rsidP="009F302E">
      <w:pPr>
        <w:numPr>
          <w:ilvl w:val="0"/>
          <w:numId w:val="20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United States Geological Survey (USGS)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reports on global petroleum systems and resource assessments.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30"/>
          <w:szCs w:val="30"/>
        </w:rPr>
      </w:pPr>
      <w:r w:rsidRPr="009F302E">
        <w:rPr>
          <w:rFonts w:ascii="Arial" w:eastAsia="Times New Roman" w:hAnsi="Arial" w:cs="Arial"/>
          <w:color w:val="303030"/>
          <w:sz w:val="30"/>
          <w:szCs w:val="30"/>
        </w:rPr>
        <w:t>2. Exploration Geoscience &amp; Reservoir Engineering</w:t>
      </w:r>
    </w:p>
    <w:p w:rsidR="009F302E" w:rsidRPr="009F302E" w:rsidRDefault="009F302E" w:rsidP="009F302E">
      <w:pPr>
        <w:numPr>
          <w:ilvl w:val="0"/>
          <w:numId w:val="21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proofErr w:type="spellStart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Selley</w:t>
      </w:r>
      <w:proofErr w:type="spellEnd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, R. C.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Elements of Petroleum Geology.</w:t>
      </w:r>
    </w:p>
    <w:p w:rsidR="009F302E" w:rsidRPr="009F302E" w:rsidRDefault="009F302E" w:rsidP="009F302E">
      <w:pPr>
        <w:numPr>
          <w:ilvl w:val="0"/>
          <w:numId w:val="21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Society of Petroleum Engineers (SPE)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Petroleum Geology handbook and SPE technical conference proceedings.</w:t>
      </w:r>
    </w:p>
    <w:p w:rsidR="009F302E" w:rsidRPr="009F302E" w:rsidRDefault="009F302E" w:rsidP="009F302E">
      <w:pPr>
        <w:numPr>
          <w:ilvl w:val="0"/>
          <w:numId w:val="21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proofErr w:type="spellStart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Dake</w:t>
      </w:r>
      <w:proofErr w:type="spellEnd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, L. P.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Petroleum Reservoir Engineering.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30"/>
          <w:szCs w:val="30"/>
        </w:rPr>
      </w:pPr>
      <w:r w:rsidRPr="009F302E">
        <w:rPr>
          <w:rFonts w:ascii="Arial" w:eastAsia="Times New Roman" w:hAnsi="Arial" w:cs="Arial"/>
          <w:color w:val="303030"/>
          <w:sz w:val="30"/>
          <w:szCs w:val="30"/>
        </w:rPr>
        <w:t xml:space="preserve">3. Drilling Engineering &amp; </w:t>
      </w:r>
      <w:proofErr w:type="spellStart"/>
      <w:r w:rsidRPr="009F302E">
        <w:rPr>
          <w:rFonts w:ascii="Arial" w:eastAsia="Times New Roman" w:hAnsi="Arial" w:cs="Arial"/>
          <w:color w:val="303030"/>
          <w:sz w:val="30"/>
          <w:szCs w:val="30"/>
        </w:rPr>
        <w:t>Unconventionals</w:t>
      </w:r>
      <w:proofErr w:type="spellEnd"/>
    </w:p>
    <w:p w:rsidR="009F302E" w:rsidRPr="009F302E" w:rsidRDefault="009F302E" w:rsidP="009F302E">
      <w:pPr>
        <w:numPr>
          <w:ilvl w:val="0"/>
          <w:numId w:val="22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proofErr w:type="spellStart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Bourgoyne</w:t>
      </w:r>
      <w:proofErr w:type="spellEnd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, A. T., et al.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Drilling Engineering.</w:t>
      </w:r>
    </w:p>
    <w:p w:rsidR="009F302E" w:rsidRPr="009F302E" w:rsidRDefault="009F302E" w:rsidP="009F302E">
      <w:pPr>
        <w:numPr>
          <w:ilvl w:val="0"/>
          <w:numId w:val="22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Ma, Y. Z.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Unconventional Oil and Gas Resources Handbook.</w:t>
      </w:r>
    </w:p>
    <w:p w:rsidR="009F302E" w:rsidRPr="009F302E" w:rsidRDefault="009F302E" w:rsidP="009F302E">
      <w:pPr>
        <w:numPr>
          <w:ilvl w:val="0"/>
          <w:numId w:val="22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American Petroleum Institute (API)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construction and operational standards.</w:t>
      </w:r>
    </w:p>
    <w:p w:rsidR="009F302E" w:rsidRPr="009F302E" w:rsidRDefault="009F302E" w:rsidP="009F302E">
      <w:pPr>
        <w:numPr>
          <w:ilvl w:val="0"/>
          <w:numId w:val="22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U.S. Energy Information Administration (EIA)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market and resource reports.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30"/>
          <w:szCs w:val="30"/>
        </w:rPr>
      </w:pPr>
      <w:r w:rsidRPr="009F302E">
        <w:rPr>
          <w:rFonts w:ascii="Arial" w:eastAsia="Times New Roman" w:hAnsi="Arial" w:cs="Arial"/>
          <w:color w:val="303030"/>
          <w:sz w:val="30"/>
          <w:szCs w:val="30"/>
        </w:rPr>
        <w:t>4. Economics, Policy &amp; Energy Transition</w:t>
      </w:r>
    </w:p>
    <w:p w:rsidR="009F302E" w:rsidRPr="009F302E" w:rsidRDefault="009F302E" w:rsidP="009F302E">
      <w:pPr>
        <w:numPr>
          <w:ilvl w:val="0"/>
          <w:numId w:val="23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Ahmed, H.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Petroleum Economics and Engineering.</w:t>
      </w:r>
    </w:p>
    <w:p w:rsidR="009F302E" w:rsidRPr="009F302E" w:rsidRDefault="009F302E" w:rsidP="009F302E">
      <w:pPr>
        <w:numPr>
          <w:ilvl w:val="0"/>
          <w:numId w:val="23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lastRenderedPageBreak/>
        <w:t>International Energy Agency (IEA)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World Energy Outlook.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Segoe UI Symbol" w:eastAsia="Times New Roman" w:hAnsi="Segoe UI Symbol" w:cs="Segoe UI Symbol"/>
          <w:color w:val="303030"/>
          <w:sz w:val="26"/>
          <w:szCs w:val="26"/>
        </w:rPr>
        <w:t>📚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proofErr w:type="gramStart"/>
      <w:r w:rsidRPr="009F302E">
        <w:rPr>
          <w:rFonts w:ascii="Arial" w:eastAsia="Times New Roman" w:hAnsi="Arial" w:cs="Arial"/>
          <w:color w:val="303030"/>
          <w:sz w:val="26"/>
          <w:szCs w:val="26"/>
        </w:rPr>
        <w:t>Would</w:t>
      </w:r>
      <w:proofErr w:type="gramEnd"/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you like me to create a formal study guide or a reading overview document summarizing these references and key historical eras?</w:t>
      </w:r>
    </w:p>
    <w:p w:rsidR="009F302E" w:rsidRPr="009F302E" w:rsidRDefault="009F302E" w:rsidP="009F302E">
      <w:pPr>
        <w:shd w:val="clear" w:color="auto" w:fill="FAF9F9"/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03030"/>
          <w:sz w:val="27"/>
          <w:szCs w:val="27"/>
        </w:rPr>
      </w:pPr>
      <w:r w:rsidRPr="009F302E">
        <w:rPr>
          <w:rFonts w:ascii="Times New Roman" w:eastAsia="Times New Roman" w:hAnsi="Times New Roman" w:cs="Times New Roman"/>
          <w:color w:val="303030"/>
          <w:sz w:val="27"/>
          <w:szCs w:val="27"/>
        </w:rPr>
        <w:t>Yes</w:t>
      </w:r>
    </w:p>
    <w:p w:rsidR="009F302E" w:rsidRPr="009F302E" w:rsidRDefault="009F302E" w:rsidP="009F302E">
      <w:pPr>
        <w:shd w:val="clear" w:color="auto" w:fill="FAF9F9"/>
        <w:bidi/>
        <w:spacing w:after="0" w:line="240" w:lineRule="auto"/>
        <w:textAlignment w:val="center"/>
        <w:rPr>
          <w:rFonts w:ascii="Times New Roman" w:eastAsia="Times New Roman" w:hAnsi="Times New Roman" w:cs="Times New Roman"/>
          <w:color w:val="303030"/>
          <w:sz w:val="27"/>
          <w:szCs w:val="27"/>
        </w:rPr>
      </w:pPr>
      <w:r w:rsidRPr="009F302E">
        <w:rPr>
          <w:rFonts w:ascii="Times New Roman" w:eastAsia="Times New Roman" w:hAnsi="Times New Roman" w:cs="Times New Roman"/>
          <w:color w:val="5E5E5E"/>
          <w:sz w:val="27"/>
          <w:szCs w:val="27"/>
        </w:rPr>
        <w:t>Thoughts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</w:rPr>
        <w:t>I have generated the study guide and reading overview document for you, focusing on the historical eras of global oil and gas and key academic references grounded in Volume 1 of the Master Series. It will appear in your Studio panel shortly.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Segoe UI Symbol" w:eastAsia="Times New Roman" w:hAnsi="Segoe UI Symbol" w:cs="Segoe UI Symbol"/>
          <w:color w:val="303030"/>
          <w:sz w:val="26"/>
          <w:szCs w:val="26"/>
        </w:rPr>
        <w:t>💡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proofErr w:type="gramStart"/>
      <w:r w:rsidRPr="009F302E">
        <w:rPr>
          <w:rFonts w:ascii="Arial" w:eastAsia="Times New Roman" w:hAnsi="Arial" w:cs="Arial"/>
          <w:color w:val="303030"/>
          <w:sz w:val="26"/>
          <w:szCs w:val="26"/>
        </w:rPr>
        <w:t>Would</w:t>
      </w:r>
      <w:proofErr w:type="gramEnd"/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you like to explore how these historical milestones compare with the regional case studies covered in Volumes 22–25?</w:t>
      </w:r>
    </w:p>
    <w:p w:rsidR="009F302E" w:rsidRPr="009F302E" w:rsidRDefault="009F302E" w:rsidP="009F302E">
      <w:pPr>
        <w:shd w:val="clear" w:color="auto" w:fill="FAF9F9"/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03030"/>
          <w:sz w:val="27"/>
          <w:szCs w:val="27"/>
        </w:rPr>
      </w:pPr>
      <w:r w:rsidRPr="009F302E">
        <w:rPr>
          <w:rFonts w:ascii="Times New Roman" w:eastAsia="Times New Roman" w:hAnsi="Times New Roman" w:cs="Times New Roman"/>
          <w:color w:val="303030"/>
          <w:sz w:val="27"/>
          <w:szCs w:val="27"/>
        </w:rPr>
        <w:t>Yes</w:t>
      </w:r>
    </w:p>
    <w:p w:rsidR="009F302E" w:rsidRPr="009F302E" w:rsidRDefault="009F302E" w:rsidP="009F302E">
      <w:pPr>
        <w:shd w:val="clear" w:color="auto" w:fill="FAF9F9"/>
        <w:bidi/>
        <w:spacing w:after="0" w:line="240" w:lineRule="auto"/>
        <w:textAlignment w:val="center"/>
        <w:rPr>
          <w:rFonts w:ascii="Times New Roman" w:eastAsia="Times New Roman" w:hAnsi="Times New Roman" w:cs="Times New Roman"/>
          <w:color w:val="303030"/>
          <w:sz w:val="27"/>
          <w:szCs w:val="27"/>
        </w:rPr>
      </w:pPr>
      <w:r w:rsidRPr="009F302E">
        <w:rPr>
          <w:rFonts w:ascii="Times New Roman" w:eastAsia="Times New Roman" w:hAnsi="Times New Roman" w:cs="Times New Roman"/>
          <w:color w:val="5E5E5E"/>
          <w:sz w:val="27"/>
          <w:szCs w:val="27"/>
        </w:rPr>
        <w:t>Thoughts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مقایسه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سیر تاریخی کلان نفت (جلد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۱)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با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مطالعات موردی منطقه‌ای (جلدهای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۲۲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 تا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۲۵)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نشان می‌دهد که چگونه مفاهیم و رویدادهای تاریخی عمومی در بستر شرایط بومی و منطقه‌ای عملیاتی شده‌اند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۵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۱۰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]: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30"/>
          <w:szCs w:val="30"/>
        </w:rPr>
      </w:pPr>
      <w:r w:rsidRPr="009F302E">
        <w:rPr>
          <w:rFonts w:ascii="Arial" w:eastAsia="Times New Roman" w:hAnsi="Arial" w:cs="Arial"/>
          <w:color w:val="303030"/>
          <w:sz w:val="30"/>
          <w:szCs w:val="30"/>
          <w:rtl/>
          <w:lang w:bidi="fa-IR"/>
        </w:rPr>
        <w:t>۱</w:t>
      </w:r>
      <w:r w:rsidRPr="009F302E">
        <w:rPr>
          <w:rFonts w:ascii="Arial" w:eastAsia="Times New Roman" w:hAnsi="Arial" w:cs="Arial"/>
          <w:color w:val="303030"/>
          <w:sz w:val="30"/>
          <w:szCs w:val="30"/>
        </w:rPr>
        <w:t xml:space="preserve">. </w:t>
      </w:r>
      <w:r w:rsidRPr="009F302E">
        <w:rPr>
          <w:rFonts w:ascii="Arial" w:eastAsia="Times New Roman" w:hAnsi="Arial" w:cs="Arial"/>
          <w:color w:val="303030"/>
          <w:sz w:val="30"/>
          <w:szCs w:val="30"/>
          <w:rtl/>
        </w:rPr>
        <w:t xml:space="preserve">از تاریخچه کلان (جلد </w:t>
      </w:r>
      <w:r w:rsidRPr="009F302E">
        <w:rPr>
          <w:rFonts w:ascii="Arial" w:eastAsia="Times New Roman" w:hAnsi="Arial" w:cs="Arial"/>
          <w:color w:val="303030"/>
          <w:sz w:val="30"/>
          <w:szCs w:val="30"/>
          <w:rtl/>
          <w:lang w:bidi="fa-IR"/>
        </w:rPr>
        <w:t xml:space="preserve">۱) </w:t>
      </w:r>
      <w:r w:rsidRPr="009F302E">
        <w:rPr>
          <w:rFonts w:ascii="Arial" w:eastAsia="Times New Roman" w:hAnsi="Arial" w:cs="Arial"/>
          <w:color w:val="303030"/>
          <w:sz w:val="30"/>
          <w:szCs w:val="30"/>
          <w:rtl/>
        </w:rPr>
        <w:t xml:space="preserve">تا واقعیت‌های منطقه‌ای (جلدهای </w:t>
      </w:r>
      <w:r w:rsidRPr="009F302E">
        <w:rPr>
          <w:rFonts w:ascii="Arial" w:eastAsia="Times New Roman" w:hAnsi="Arial" w:cs="Arial"/>
          <w:color w:val="303030"/>
          <w:sz w:val="30"/>
          <w:szCs w:val="30"/>
          <w:rtl/>
          <w:lang w:bidi="fa-IR"/>
        </w:rPr>
        <w:t>۲۲</w:t>
      </w:r>
      <w:r w:rsidRPr="009F302E">
        <w:rPr>
          <w:rFonts w:ascii="Arial" w:eastAsia="Times New Roman" w:hAnsi="Arial" w:cs="Arial"/>
          <w:color w:val="303030"/>
          <w:sz w:val="30"/>
          <w:szCs w:val="30"/>
          <w:rtl/>
        </w:rPr>
        <w:t xml:space="preserve"> تا </w:t>
      </w:r>
      <w:r w:rsidRPr="009F302E">
        <w:rPr>
          <w:rFonts w:ascii="Arial" w:eastAsia="Times New Roman" w:hAnsi="Arial" w:cs="Arial"/>
          <w:color w:val="303030"/>
          <w:sz w:val="30"/>
          <w:szCs w:val="30"/>
          <w:rtl/>
          <w:lang w:bidi="fa-IR"/>
        </w:rPr>
        <w:t>۲۵)</w:t>
      </w:r>
    </w:p>
    <w:p w:rsidR="009F302E" w:rsidRPr="009F302E" w:rsidRDefault="009F302E" w:rsidP="009F302E">
      <w:pPr>
        <w:numPr>
          <w:ilvl w:val="0"/>
          <w:numId w:val="24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۱ (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مبانی و تاریخچه نفت)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: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سیر تحول صنعت جهانی نفت را از استفاده‌های باستانی (مانند آسفالت بابلی) تا نقاط عطف مدرن شامل چاه دریک (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۱۸۵۹)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شوک‌های نفتی دهه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۱۹۷۰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و انقلاب شیل بررسی می‌کند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 xml:space="preserve">۵].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این جلد تصویر کلی و کلانِ توسعه صنعت نفت در سطح جهان را ترسیم می‌کند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۵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numPr>
          <w:ilvl w:val="0"/>
          <w:numId w:val="24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جلدهای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۲۲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 تا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۲۵ (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مطالعات موردی منطقه‌ای)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: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این روندها و الگوهای تاریخی را در چهار حوزه جغرافیایی مشخص تحلیل کرده و درس‌های عملیاتی حاصل از آن‌ها را به صورت کاربردی ارائه می‌دهند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۱۰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shd w:val="clear" w:color="auto" w:fill="FAF9F9"/>
        <w:bidi/>
        <w:spacing w:after="0" w:line="240" w:lineRule="auto"/>
        <w:rPr>
          <w:rFonts w:ascii="Times New Roman" w:eastAsia="Times New Roman" w:hAnsi="Times New Roman" w:cs="Times New Roman"/>
          <w:color w:val="303030"/>
          <w:sz w:val="27"/>
          <w:szCs w:val="27"/>
        </w:rPr>
      </w:pPr>
      <w:r w:rsidRPr="009F302E">
        <w:rPr>
          <w:rFonts w:ascii="Times New Roman" w:eastAsia="Times New Roman" w:hAnsi="Times New Roman" w:cs="Times New Roman"/>
          <w:color w:val="303030"/>
          <w:sz w:val="27"/>
          <w:szCs w:val="27"/>
        </w:rPr>
        <w:pict>
          <v:rect id="_x0000_i1026" style="width:0;height:1.5pt" o:hralign="center" o:hrstd="t" o:hr="t" fillcolor="#a0a0a0" stroked="f"/>
        </w:pic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30"/>
          <w:szCs w:val="30"/>
        </w:rPr>
      </w:pPr>
      <w:r w:rsidRPr="009F302E">
        <w:rPr>
          <w:rFonts w:ascii="Arial" w:eastAsia="Times New Roman" w:hAnsi="Arial" w:cs="Arial"/>
          <w:color w:val="303030"/>
          <w:sz w:val="30"/>
          <w:szCs w:val="30"/>
          <w:rtl/>
          <w:lang w:bidi="fa-IR"/>
        </w:rPr>
        <w:t>۲</w:t>
      </w:r>
      <w:r w:rsidRPr="009F302E">
        <w:rPr>
          <w:rFonts w:ascii="Arial" w:eastAsia="Times New Roman" w:hAnsi="Arial" w:cs="Arial"/>
          <w:color w:val="303030"/>
          <w:sz w:val="30"/>
          <w:szCs w:val="30"/>
        </w:rPr>
        <w:t xml:space="preserve">. </w:t>
      </w:r>
      <w:r w:rsidRPr="009F302E">
        <w:rPr>
          <w:rFonts w:ascii="Arial" w:eastAsia="Times New Roman" w:hAnsi="Arial" w:cs="Arial"/>
          <w:color w:val="303030"/>
          <w:sz w:val="30"/>
          <w:szCs w:val="30"/>
          <w:rtl/>
        </w:rPr>
        <w:t>بررسی مناطق جغرافیایی و تطبیق تاریخی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مطالعات موردی منطقه‌ای در این مجلدات، تاریخچه و تکنیک‌های مطرح‌شده در جلدهای قبلی را در بستر زمین‌شناختی و اقتصادیِ مناطق مختلف بررسی می‌کنند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۴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۱۰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]:</w:t>
      </w:r>
    </w:p>
    <w:p w:rsidR="009F302E" w:rsidRPr="009F302E" w:rsidRDefault="009F302E" w:rsidP="009F302E">
      <w:pPr>
        <w:numPr>
          <w:ilvl w:val="0"/>
          <w:numId w:val="25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قاره آمریکا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(Americas):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چگونگی شکل‌گیری انقلاب منابع نامتعارف (شیل) در حوضه‌هایی مانند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پرمیان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(Permian Basin)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و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باکن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(</w:t>
      </w:r>
      <w:proofErr w:type="spellStart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Bakken</w:t>
      </w:r>
      <w:proofErr w:type="spellEnd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)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را که در جلد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و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۱۰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مطرح شده‌اند، با جزئیات عملیاتی و اقتصادی تحلیل می‌کند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۵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۷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۱۰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numPr>
          <w:ilvl w:val="0"/>
          <w:numId w:val="25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lastRenderedPageBreak/>
        <w:t>اروپا و خاورمیانه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(Europe &amp; Middle East):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توسعه میادین بزرگ و ساختارساز تاریخ نفت، از جمله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میدان شوار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(</w:t>
      </w:r>
      <w:proofErr w:type="spellStart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Ghawar</w:t>
      </w:r>
      <w:proofErr w:type="spellEnd"/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)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در عربستان و اکتشافات تاریخی و پیچیده در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دریای شمال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را ارزیابی می‌کند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۵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۱۰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numPr>
          <w:ilvl w:val="0"/>
          <w:numId w:val="25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آفریقا، آسیا-اقیانوسیه، قطب شمال و مناطق مرزی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(Africa, Asia-Pac, Arctic &amp; Frontier):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چالش‌های خاص محیطی و ژئوپلیتیکی، نظیر عملیات در شرایط یخبندان قطب شمال یا ریسک‌های سیاسی و ساختاری در حوزه آفریقا را پوشش می‌دهد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۱۰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numPr>
          <w:ilvl w:val="0"/>
          <w:numId w:val="25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درس‌های جهانی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(Global Lessons -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۲۵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):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۲۵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به عنوان جمع‌بندی نهایی مجموعه، با تحلیل موفقیت‌ها و شکست‌های تاریخی در مناطق مختلف، راهکارهای یکپارچه‌ای برای مواجهه با گذار انرژی و آینده صنعت ارائه می‌دهد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۱۰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shd w:val="clear" w:color="auto" w:fill="FAF9F9"/>
        <w:bidi/>
        <w:spacing w:after="0" w:line="240" w:lineRule="auto"/>
        <w:rPr>
          <w:rFonts w:ascii="Times New Roman" w:eastAsia="Times New Roman" w:hAnsi="Times New Roman" w:cs="Times New Roman"/>
          <w:color w:val="303030"/>
          <w:sz w:val="27"/>
          <w:szCs w:val="27"/>
        </w:rPr>
      </w:pPr>
      <w:r w:rsidRPr="009F302E">
        <w:rPr>
          <w:rFonts w:ascii="Times New Roman" w:eastAsia="Times New Roman" w:hAnsi="Times New Roman" w:cs="Times New Roman"/>
          <w:color w:val="303030"/>
          <w:sz w:val="27"/>
          <w:szCs w:val="27"/>
        </w:rPr>
        <w:pict>
          <v:rect id="_x0000_i1027" style="width:0;height:1.5pt" o:hralign="center" o:hrstd="t" o:hr="t" fillcolor="#a0a0a0" stroked="f"/>
        </w:pic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30"/>
          <w:szCs w:val="30"/>
        </w:rPr>
      </w:pPr>
      <w:r w:rsidRPr="009F302E">
        <w:rPr>
          <w:rFonts w:ascii="Arial" w:eastAsia="Times New Roman" w:hAnsi="Arial" w:cs="Arial"/>
          <w:color w:val="303030"/>
          <w:sz w:val="30"/>
          <w:szCs w:val="30"/>
          <w:rtl/>
          <w:lang w:bidi="fa-IR"/>
        </w:rPr>
        <w:t>۳</w:t>
      </w:r>
      <w:r w:rsidRPr="009F302E">
        <w:rPr>
          <w:rFonts w:ascii="Arial" w:eastAsia="Times New Roman" w:hAnsi="Arial" w:cs="Arial"/>
          <w:color w:val="303030"/>
          <w:sz w:val="30"/>
          <w:szCs w:val="30"/>
        </w:rPr>
        <w:t xml:space="preserve">. </w:t>
      </w:r>
      <w:r w:rsidRPr="009F302E">
        <w:rPr>
          <w:rFonts w:ascii="Arial" w:eastAsia="Times New Roman" w:hAnsi="Arial" w:cs="Arial"/>
          <w:color w:val="303030"/>
          <w:sz w:val="30"/>
          <w:szCs w:val="30"/>
          <w:rtl/>
        </w:rPr>
        <w:t>پیوند با گذار انرژی و آینده صنعت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در حالی که جلد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نحوه شکل‌گیری صنعت نفت و پاسخ آن به بحران‌های گذشته را نشان می‌دهد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۵]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جلدهای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۲۲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تا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۲۵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چگونگی انطباق هر منطقه جغرافیایی با چالش‌های آینده مانند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پایداری، کاهش انتشار کربن و تحول دیجیتال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را بر اساس شرایط بومی بررسی می‌کنند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۹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۱۰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Segoe UI Symbol" w:eastAsia="Times New Roman" w:hAnsi="Segoe UI Symbol" w:cs="Segoe UI Symbol"/>
          <w:color w:val="303030"/>
          <w:sz w:val="26"/>
          <w:szCs w:val="26"/>
        </w:rPr>
        <w:t>🔍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اگر تمایل داشته باشید، می‌توانیم یک ماتریس مقایسه‌ای از ویژگی‌های زمین‌شناختی و رژیم‌های مالی مناطق مختلف (مانند خاورمیانه در برابر دریای شمال) تهیه کنیم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.</w:t>
      </w:r>
    </w:p>
    <w:p w:rsidR="009F302E" w:rsidRPr="009F302E" w:rsidRDefault="009F302E" w:rsidP="009F302E">
      <w:pPr>
        <w:shd w:val="clear" w:color="auto" w:fill="FAF9F9"/>
        <w:bidi/>
        <w:spacing w:after="0" w:line="240" w:lineRule="atLeast"/>
        <w:jc w:val="center"/>
        <w:rPr>
          <w:rFonts w:ascii="Arial" w:eastAsia="Times New Roman" w:hAnsi="Arial" w:cs="Arial"/>
          <w:color w:val="5E5E5E"/>
          <w:spacing w:val="1"/>
          <w:sz w:val="18"/>
          <w:szCs w:val="18"/>
        </w:rPr>
      </w:pPr>
      <w:r w:rsidRPr="009F302E">
        <w:rPr>
          <w:rFonts w:ascii="Arial" w:eastAsia="Times New Roman" w:hAnsi="Arial" w:cs="Arial"/>
          <w:color w:val="5E5E5E"/>
          <w:spacing w:val="1"/>
          <w:sz w:val="18"/>
          <w:szCs w:val="18"/>
        </w:rPr>
        <w:t>Today • 3:09 AM</w:t>
      </w:r>
    </w:p>
    <w:p w:rsidR="009F302E" w:rsidRPr="009F302E" w:rsidRDefault="009F302E" w:rsidP="009F302E">
      <w:pPr>
        <w:shd w:val="clear" w:color="auto" w:fill="FAF9F9"/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03030"/>
          <w:sz w:val="27"/>
          <w:szCs w:val="27"/>
        </w:rPr>
      </w:pPr>
      <w:r w:rsidRPr="009F302E">
        <w:rPr>
          <w:rFonts w:ascii="Times New Roman" w:eastAsia="Times New Roman" w:hAnsi="Times New Roman" w:cs="Times New Roman"/>
          <w:color w:val="303030"/>
          <w:sz w:val="27"/>
          <w:szCs w:val="27"/>
        </w:rPr>
        <w:t>Fundamentals &amp; History (</w:t>
      </w:r>
      <w:proofErr w:type="spellStart"/>
      <w:r w:rsidRPr="009F302E">
        <w:rPr>
          <w:rFonts w:ascii="Times New Roman" w:eastAsia="Times New Roman" w:hAnsi="Times New Roman" w:cs="Times New Roman"/>
          <w:color w:val="303030"/>
          <w:sz w:val="27"/>
          <w:szCs w:val="27"/>
        </w:rPr>
        <w:t>Vol</w:t>
      </w:r>
      <w:proofErr w:type="spellEnd"/>
      <w:r w:rsidRPr="009F302E">
        <w:rPr>
          <w:rFonts w:ascii="Times New Roman" w:eastAsia="Times New Roman" w:hAnsi="Times New Roman" w:cs="Times New Roman"/>
          <w:color w:val="303030"/>
          <w:sz w:val="27"/>
          <w:szCs w:val="27"/>
        </w:rPr>
        <w:t xml:space="preserve"> 1)</w:t>
      </w:r>
    </w:p>
    <w:p w:rsidR="009F302E" w:rsidRPr="009F302E" w:rsidRDefault="009F302E" w:rsidP="009F302E">
      <w:pPr>
        <w:shd w:val="clear" w:color="auto" w:fill="FAF9F9"/>
        <w:bidi/>
        <w:spacing w:after="0" w:line="240" w:lineRule="auto"/>
        <w:textAlignment w:val="center"/>
        <w:rPr>
          <w:rFonts w:ascii="Times New Roman" w:eastAsia="Times New Roman" w:hAnsi="Times New Roman" w:cs="Times New Roman"/>
          <w:color w:val="303030"/>
          <w:sz w:val="27"/>
          <w:szCs w:val="27"/>
        </w:rPr>
      </w:pPr>
      <w:r w:rsidRPr="009F302E">
        <w:rPr>
          <w:rFonts w:ascii="Times New Roman" w:eastAsia="Times New Roman" w:hAnsi="Times New Roman" w:cs="Times New Roman"/>
          <w:color w:val="5E5E5E"/>
          <w:sz w:val="27"/>
          <w:szCs w:val="27"/>
        </w:rPr>
        <w:t>Thoughts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 xml:space="preserve">۱: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مبانی و تاریخچه نفت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 xml:space="preserve"> (Petroleum Fundamentals &amp; History)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به‌عنوان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جلد بنیادی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مجموعه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۲۵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جلدی عمل کرده و پایه و اساس مفاهیم فنی، تاریخی و ساختاری را برای کل این سری آموزشی فراهم می‌سازد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۴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۵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30"/>
          <w:szCs w:val="30"/>
        </w:rPr>
      </w:pPr>
      <w:r w:rsidRPr="009F302E">
        <w:rPr>
          <w:rFonts w:ascii="Arial" w:eastAsia="Times New Roman" w:hAnsi="Arial" w:cs="Arial"/>
          <w:color w:val="303030"/>
          <w:sz w:val="30"/>
          <w:szCs w:val="30"/>
          <w:rtl/>
        </w:rPr>
        <w:t>سرفصل‌ها و موضوعات کلیدی</w:t>
      </w:r>
      <w:r w:rsidRPr="009F302E">
        <w:rPr>
          <w:rFonts w:ascii="Arial" w:eastAsia="Times New Roman" w:hAnsi="Arial" w:cs="Arial"/>
          <w:color w:val="303030"/>
          <w:sz w:val="30"/>
          <w:szCs w:val="30"/>
        </w:rPr>
        <w:t xml:space="preserve"> (Key Topics)</w:t>
      </w:r>
    </w:p>
    <w:p w:rsidR="009F302E" w:rsidRPr="009F302E" w:rsidRDefault="009F302E" w:rsidP="009F302E">
      <w:pPr>
        <w:numPr>
          <w:ilvl w:val="0"/>
          <w:numId w:val="26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ترکیب شیمیایی هیدروکربن‌ها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: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بررسی ویژگی‌ها و ترکیب نفت خام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(Crude oil)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، گاز طبیعی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(Natural gas)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و میعانات گازی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(Condensates)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۵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numPr>
          <w:ilvl w:val="0"/>
          <w:numId w:val="26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فرآیندهای تشکیل زمین‌شناختی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: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تشریح مکانیسم‌های زیرسطحی شامل سنگ‌های منشأ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(Source rocks)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، فرآیند مهاجرت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(Migration)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و تله‌های زمین‌شناختی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(Traps)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۵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numPr>
          <w:ilvl w:val="0"/>
          <w:numId w:val="26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نقاط عطف تاریخی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: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مرور سیر تحول صنعت از کاربردهای باستانی (مانند آسفالت بابلی) تا حفر چاه دریک در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۱۸۵۹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، بحران‌های نفتی دهه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۱۹۷۰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و انقلاب‌های فناوری شیل در عصر حاضر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۵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numPr>
          <w:ilvl w:val="0"/>
          <w:numId w:val="26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ذخایر جهانی و طبقه‌بندی منابع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: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تعاریف استاندارد و تفکیک انواع ذخایر شامل منابع اثبات‌شده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(Proven)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، محتمل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(Probable)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و احتمالی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(Contingent)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۵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numPr>
          <w:ilvl w:val="0"/>
          <w:numId w:val="26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اصطلاحات و واحدهای پایه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: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معرفی شاخص‌های کلیدی نظیر چگالی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API (API gravity)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و واحدهای سنجش مانند بشکه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</w:t>
      </w:r>
      <w:proofErr w:type="spellStart"/>
      <w:r w:rsidRPr="009F302E">
        <w:rPr>
          <w:rFonts w:ascii="Arial" w:eastAsia="Times New Roman" w:hAnsi="Arial" w:cs="Arial"/>
          <w:color w:val="303030"/>
          <w:sz w:val="26"/>
          <w:szCs w:val="26"/>
        </w:rPr>
        <w:t>bbl</w:t>
      </w:r>
      <w:proofErr w:type="spellEnd"/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)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در برابر معادل بشکه نفت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</w:t>
      </w:r>
      <w:proofErr w:type="spellStart"/>
      <w:r w:rsidRPr="009F302E">
        <w:rPr>
          <w:rFonts w:ascii="Arial" w:eastAsia="Times New Roman" w:hAnsi="Arial" w:cs="Arial"/>
          <w:color w:val="303030"/>
          <w:sz w:val="26"/>
          <w:szCs w:val="26"/>
        </w:rPr>
        <w:t>boe</w:t>
      </w:r>
      <w:proofErr w:type="spellEnd"/>
      <w:r w:rsidRPr="009F302E">
        <w:rPr>
          <w:rFonts w:ascii="Arial" w:eastAsia="Times New Roman" w:hAnsi="Arial" w:cs="Arial"/>
          <w:color w:val="303030"/>
          <w:sz w:val="26"/>
          <w:szCs w:val="26"/>
        </w:rPr>
        <w:t>)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۵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30"/>
          <w:szCs w:val="30"/>
        </w:rPr>
      </w:pPr>
      <w:r w:rsidRPr="009F302E">
        <w:rPr>
          <w:rFonts w:ascii="Arial" w:eastAsia="Times New Roman" w:hAnsi="Arial" w:cs="Arial"/>
          <w:color w:val="303030"/>
          <w:sz w:val="30"/>
          <w:szCs w:val="30"/>
          <w:rtl/>
        </w:rPr>
        <w:lastRenderedPageBreak/>
        <w:t>مرجع‌های اصلی و ارجاعات</w:t>
      </w:r>
      <w:r w:rsidRPr="009F302E">
        <w:rPr>
          <w:rFonts w:ascii="Arial" w:eastAsia="Times New Roman" w:hAnsi="Arial" w:cs="Arial"/>
          <w:color w:val="303030"/>
          <w:sz w:val="30"/>
          <w:szCs w:val="30"/>
        </w:rPr>
        <w:t xml:space="preserve"> (Resources &amp; Cross-References)</w:t>
      </w:r>
    </w:p>
    <w:p w:rsidR="009F302E" w:rsidRPr="009F302E" w:rsidRDefault="009F302E" w:rsidP="009F302E">
      <w:pPr>
        <w:numPr>
          <w:ilvl w:val="0"/>
          <w:numId w:val="27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منابع مرجع پیشنهادی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: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کتاب شاهکار 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"The Prize"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اثر دانیل یورگین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(Daniel </w:t>
      </w:r>
      <w:proofErr w:type="spellStart"/>
      <w:r w:rsidRPr="009F302E">
        <w:rPr>
          <w:rFonts w:ascii="Arial" w:eastAsia="Times New Roman" w:hAnsi="Arial" w:cs="Arial"/>
          <w:color w:val="303030"/>
          <w:sz w:val="26"/>
          <w:szCs w:val="26"/>
        </w:rPr>
        <w:t>Yergin</w:t>
      </w:r>
      <w:proofErr w:type="spellEnd"/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)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و گزارش‌های ارزیابی سازمان زمین‌شناسی ایالات متحده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(USGS)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۵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numPr>
          <w:ilvl w:val="0"/>
          <w:numId w:val="27"/>
        </w:numPr>
        <w:shd w:val="clear" w:color="auto" w:fill="FAF9F9"/>
        <w:bidi/>
        <w:spacing w:before="100" w:beforeAutospacing="1" w:after="100" w:afterAutospacing="1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>ارتباط با جلدهای دیگر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</w:rPr>
        <w:t>: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این جلد پایه‌گذار مباحث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علوم زمین اکتشافی (جلدهای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۲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 و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۳)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و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پایداری و گذار انرژی (جلد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۱۹)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 xml:space="preserve"> است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[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  <w:lang w:bidi="fa-IR"/>
        </w:rPr>
        <w:t>۵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>].</w:t>
      </w:r>
    </w:p>
    <w:p w:rsidR="009F302E" w:rsidRPr="009F302E" w:rsidRDefault="009F302E" w:rsidP="009F302E">
      <w:pPr>
        <w:shd w:val="clear" w:color="auto" w:fill="FAF9F9"/>
        <w:bidi/>
        <w:spacing w:after="0" w:line="360" w:lineRule="atLeast"/>
        <w:rPr>
          <w:rFonts w:ascii="Arial" w:eastAsia="Times New Roman" w:hAnsi="Arial" w:cs="Arial"/>
          <w:color w:val="303030"/>
          <w:sz w:val="26"/>
          <w:szCs w:val="26"/>
        </w:rPr>
      </w:pPr>
      <w:r w:rsidRPr="009F302E">
        <w:rPr>
          <w:rFonts w:ascii="Segoe UI Symbol" w:eastAsia="Times New Roman" w:hAnsi="Segoe UI Symbol" w:cs="Segoe UI Symbol"/>
          <w:color w:val="303030"/>
          <w:sz w:val="26"/>
          <w:szCs w:val="26"/>
        </w:rPr>
        <w:t>💡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آیا مایلید سرفصل‌های جلد بعدی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 (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علوم زمین اکتشافی - جلدهای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۲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</w:rPr>
        <w:t xml:space="preserve"> و </w:t>
      </w:r>
      <w:r w:rsidRPr="009F302E">
        <w:rPr>
          <w:rFonts w:ascii="Arial" w:eastAsia="Times New Roman" w:hAnsi="Arial" w:cs="Arial"/>
          <w:b/>
          <w:bCs/>
          <w:color w:val="303030"/>
          <w:sz w:val="26"/>
          <w:szCs w:val="26"/>
          <w:rtl/>
          <w:lang w:bidi="fa-IR"/>
        </w:rPr>
        <w:t>۳</w:t>
      </w:r>
      <w:r w:rsidRPr="009F302E">
        <w:rPr>
          <w:rFonts w:ascii="Arial" w:eastAsia="Times New Roman" w:hAnsi="Arial" w:cs="Arial"/>
          <w:color w:val="303030"/>
          <w:sz w:val="26"/>
          <w:szCs w:val="26"/>
        </w:rPr>
        <w:t xml:space="preserve">) </w:t>
      </w:r>
      <w:r w:rsidRPr="009F302E">
        <w:rPr>
          <w:rFonts w:ascii="Arial" w:eastAsia="Times New Roman" w:hAnsi="Arial" w:cs="Arial"/>
          <w:color w:val="303030"/>
          <w:sz w:val="26"/>
          <w:szCs w:val="26"/>
          <w:rtl/>
        </w:rPr>
        <w:t>را با هم مرور کنیم؟</w:t>
      </w:r>
    </w:p>
    <w:p w:rsidR="00C553A5" w:rsidRDefault="00C553A5" w:rsidP="009F302E">
      <w:pPr>
        <w:bidi/>
      </w:pPr>
    </w:p>
    <w:sectPr w:rsidR="00C553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19B4" w:rsidRDefault="008619B4" w:rsidP="00977C95">
      <w:pPr>
        <w:spacing w:after="0" w:line="240" w:lineRule="auto"/>
      </w:pPr>
      <w:r>
        <w:separator/>
      </w:r>
    </w:p>
  </w:endnote>
  <w:endnote w:type="continuationSeparator" w:id="0">
    <w:p w:rsidR="008619B4" w:rsidRDefault="008619B4" w:rsidP="00977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C95" w:rsidRDefault="00977C9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0712802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bookmarkStart w:id="0" w:name="_GoBack" w:displacedByCustomXml="prev"/>
      <w:bookmarkEnd w:id="0" w:displacedByCustomXml="prev"/>
      <w:p w:rsidR="00977C95" w:rsidRDefault="00977C95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977C95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977C95" w:rsidRDefault="00977C9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C95" w:rsidRDefault="00977C9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19B4" w:rsidRDefault="008619B4" w:rsidP="00977C95">
      <w:pPr>
        <w:spacing w:after="0" w:line="240" w:lineRule="auto"/>
      </w:pPr>
      <w:r>
        <w:separator/>
      </w:r>
    </w:p>
  </w:footnote>
  <w:footnote w:type="continuationSeparator" w:id="0">
    <w:p w:rsidR="008619B4" w:rsidRDefault="008619B4" w:rsidP="00977C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C95" w:rsidRDefault="00977C9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C95" w:rsidRDefault="00977C9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C95" w:rsidRDefault="00977C9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A44B1"/>
    <w:multiLevelType w:val="multilevel"/>
    <w:tmpl w:val="E0F26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8B4195"/>
    <w:multiLevelType w:val="multilevel"/>
    <w:tmpl w:val="6F30F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DC6F3B"/>
    <w:multiLevelType w:val="multilevel"/>
    <w:tmpl w:val="0AB06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005A97"/>
    <w:multiLevelType w:val="multilevel"/>
    <w:tmpl w:val="2E284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8E67F6"/>
    <w:multiLevelType w:val="multilevel"/>
    <w:tmpl w:val="1652C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E77ED8"/>
    <w:multiLevelType w:val="multilevel"/>
    <w:tmpl w:val="05C6F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E317D9D"/>
    <w:multiLevelType w:val="multilevel"/>
    <w:tmpl w:val="64885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096C3E"/>
    <w:multiLevelType w:val="multilevel"/>
    <w:tmpl w:val="93E2E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90C63D4"/>
    <w:multiLevelType w:val="multilevel"/>
    <w:tmpl w:val="2DE63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93503DF"/>
    <w:multiLevelType w:val="multilevel"/>
    <w:tmpl w:val="60B45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4B12598"/>
    <w:multiLevelType w:val="multilevel"/>
    <w:tmpl w:val="0916E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72D403D"/>
    <w:multiLevelType w:val="multilevel"/>
    <w:tmpl w:val="25664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C6925B9"/>
    <w:multiLevelType w:val="multilevel"/>
    <w:tmpl w:val="C5587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C995DE3"/>
    <w:multiLevelType w:val="multilevel"/>
    <w:tmpl w:val="2916B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F5D659D"/>
    <w:multiLevelType w:val="multilevel"/>
    <w:tmpl w:val="12C2D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01C1381"/>
    <w:multiLevelType w:val="multilevel"/>
    <w:tmpl w:val="C1A8C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04D6C0C"/>
    <w:multiLevelType w:val="multilevel"/>
    <w:tmpl w:val="AB8E0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C4D3A4C"/>
    <w:multiLevelType w:val="multilevel"/>
    <w:tmpl w:val="44501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D5017DB"/>
    <w:multiLevelType w:val="multilevel"/>
    <w:tmpl w:val="DB807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EB16E37"/>
    <w:multiLevelType w:val="multilevel"/>
    <w:tmpl w:val="20363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EF06B5B"/>
    <w:multiLevelType w:val="multilevel"/>
    <w:tmpl w:val="B31CB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10F5721"/>
    <w:multiLevelType w:val="multilevel"/>
    <w:tmpl w:val="C7269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B3466EA"/>
    <w:multiLevelType w:val="multilevel"/>
    <w:tmpl w:val="B1E06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C682BFA"/>
    <w:multiLevelType w:val="multilevel"/>
    <w:tmpl w:val="C51C3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6973ED7"/>
    <w:multiLevelType w:val="multilevel"/>
    <w:tmpl w:val="DF345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74A230D"/>
    <w:multiLevelType w:val="multilevel"/>
    <w:tmpl w:val="B2E46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AD17285"/>
    <w:multiLevelType w:val="multilevel"/>
    <w:tmpl w:val="41361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20"/>
  </w:num>
  <w:num w:numId="3">
    <w:abstractNumId w:val="13"/>
  </w:num>
  <w:num w:numId="4">
    <w:abstractNumId w:val="17"/>
  </w:num>
  <w:num w:numId="5">
    <w:abstractNumId w:val="22"/>
  </w:num>
  <w:num w:numId="6">
    <w:abstractNumId w:val="24"/>
  </w:num>
  <w:num w:numId="7">
    <w:abstractNumId w:val="7"/>
  </w:num>
  <w:num w:numId="8">
    <w:abstractNumId w:val="11"/>
  </w:num>
  <w:num w:numId="9">
    <w:abstractNumId w:val="9"/>
  </w:num>
  <w:num w:numId="10">
    <w:abstractNumId w:val="0"/>
  </w:num>
  <w:num w:numId="11">
    <w:abstractNumId w:val="2"/>
  </w:num>
  <w:num w:numId="12">
    <w:abstractNumId w:val="8"/>
  </w:num>
  <w:num w:numId="13">
    <w:abstractNumId w:val="4"/>
  </w:num>
  <w:num w:numId="14">
    <w:abstractNumId w:val="16"/>
  </w:num>
  <w:num w:numId="15">
    <w:abstractNumId w:val="3"/>
  </w:num>
  <w:num w:numId="16">
    <w:abstractNumId w:val="1"/>
  </w:num>
  <w:num w:numId="17">
    <w:abstractNumId w:val="6"/>
  </w:num>
  <w:num w:numId="18">
    <w:abstractNumId w:val="21"/>
  </w:num>
  <w:num w:numId="19">
    <w:abstractNumId w:val="5"/>
  </w:num>
  <w:num w:numId="20">
    <w:abstractNumId w:val="25"/>
  </w:num>
  <w:num w:numId="21">
    <w:abstractNumId w:val="23"/>
  </w:num>
  <w:num w:numId="22">
    <w:abstractNumId w:val="15"/>
  </w:num>
  <w:num w:numId="23">
    <w:abstractNumId w:val="10"/>
  </w:num>
  <w:num w:numId="24">
    <w:abstractNumId w:val="12"/>
  </w:num>
  <w:num w:numId="25">
    <w:abstractNumId w:val="14"/>
  </w:num>
  <w:num w:numId="26">
    <w:abstractNumId w:val="26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02E"/>
    <w:rsid w:val="008619B4"/>
    <w:rsid w:val="00977C95"/>
    <w:rsid w:val="009F302E"/>
    <w:rsid w:val="00C5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0B49BA-1DE0-48CC-9205-0C740A90B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F30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F302E"/>
    <w:rPr>
      <w:rFonts w:ascii="Times New Roman" w:eastAsia="Times New Roman" w:hAnsi="Times New Roman" w:cs="Times New Roman"/>
      <w:b/>
      <w:bCs/>
      <w:sz w:val="36"/>
      <w:szCs w:val="36"/>
    </w:rPr>
  </w:style>
  <w:style w:type="numbering" w:customStyle="1" w:styleId="NoList1">
    <w:name w:val="No List1"/>
    <w:next w:val="NoList"/>
    <w:uiPriority w:val="99"/>
    <w:semiHidden/>
    <w:unhideWhenUsed/>
    <w:rsid w:val="009F302E"/>
  </w:style>
  <w:style w:type="character" w:customStyle="1" w:styleId="cover-subtitle-source-count">
    <w:name w:val="cover-subtitle-source-count"/>
    <w:basedOn w:val="DefaultParagraphFont"/>
    <w:rsid w:val="009F302E"/>
  </w:style>
  <w:style w:type="character" w:customStyle="1" w:styleId="cover-subtitle-middle-dot">
    <w:name w:val="cover-subtitle-middle-dot"/>
    <w:basedOn w:val="DefaultParagraphFont"/>
    <w:rsid w:val="009F302E"/>
  </w:style>
  <w:style w:type="character" w:customStyle="1" w:styleId="cover-subtitle-date">
    <w:name w:val="cover-subtitle-date"/>
    <w:basedOn w:val="DefaultParagraphFont"/>
    <w:rsid w:val="009F302E"/>
  </w:style>
  <w:style w:type="character" w:customStyle="1" w:styleId="notebook-summary">
    <w:name w:val="notebook-summary"/>
    <w:basedOn w:val="DefaultParagraphFont"/>
    <w:rsid w:val="009F302E"/>
  </w:style>
  <w:style w:type="paragraph" w:styleId="NormalWeb">
    <w:name w:val="Normal (Web)"/>
    <w:basedOn w:val="Normal"/>
    <w:uiPriority w:val="99"/>
    <w:semiHidden/>
    <w:unhideWhenUsed/>
    <w:rsid w:val="009F3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F302E"/>
    <w:rPr>
      <w:b/>
      <w:bCs/>
    </w:rPr>
  </w:style>
  <w:style w:type="character" w:customStyle="1" w:styleId="thinking-chaintitle">
    <w:name w:val="thinking-chain__title"/>
    <w:basedOn w:val="DefaultParagraphFont"/>
    <w:rsid w:val="009F302E"/>
  </w:style>
  <w:style w:type="character" w:customStyle="1" w:styleId="thinking-chainexpand-btn">
    <w:name w:val="thinking-chain__expand-btn"/>
    <w:basedOn w:val="DefaultParagraphFont"/>
    <w:rsid w:val="009F302E"/>
  </w:style>
  <w:style w:type="paragraph" w:styleId="Header">
    <w:name w:val="header"/>
    <w:basedOn w:val="Normal"/>
    <w:link w:val="HeaderChar"/>
    <w:uiPriority w:val="99"/>
    <w:unhideWhenUsed/>
    <w:rsid w:val="00977C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C95"/>
  </w:style>
  <w:style w:type="paragraph" w:styleId="Footer">
    <w:name w:val="footer"/>
    <w:basedOn w:val="Normal"/>
    <w:link w:val="FooterChar"/>
    <w:uiPriority w:val="99"/>
    <w:unhideWhenUsed/>
    <w:rsid w:val="00977C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C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2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36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85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89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1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02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12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03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46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85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17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96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62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38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20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74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29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02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613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70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3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364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21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69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200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943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85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752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920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26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78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280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178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257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95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96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43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265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49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332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13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3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991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8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69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65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48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552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5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8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83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992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13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836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60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25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68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28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61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79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8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694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82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83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34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238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75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13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62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588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2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607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87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89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297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78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4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45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21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17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848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0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8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988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88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0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061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65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398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38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62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676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00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93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33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60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658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88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20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552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145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51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34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43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17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534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149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22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2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749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11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59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46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610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1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87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122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567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36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851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59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41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88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811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25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80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5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03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1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154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39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34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17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863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7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59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33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395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97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49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887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736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92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939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88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3861</Words>
  <Characters>22014</Characters>
  <Application>Microsoft Office Word</Application>
  <DocSecurity>0</DocSecurity>
  <Lines>183</Lines>
  <Paragraphs>51</Paragraphs>
  <ScaleCrop>false</ScaleCrop>
  <Company/>
  <LinksUpToDate>false</LinksUpToDate>
  <CharactersWithSpaces>25824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PCS</dc:creator>
  <cp:keywords/>
  <dc:description/>
  <cp:lastModifiedBy>PCS</cp:lastModifiedBy>
  <cp:revision>2</cp:revision>
  <dcterms:created xsi:type="dcterms:W3CDTF">2026-10-18T10:10:00Z</dcterms:created>
  <dcterms:modified xsi:type="dcterms:W3CDTF">2026-10-18T10:15:00Z</dcterms:modified>
</cp:coreProperties>
</file>